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0240" w:rsidR="009C268F" w:rsidP="006F60ED" w:rsidRDefault="009C268F">
      <w:pPr>
        <w:overflowPunct/>
        <w:adjustRightInd/>
        <w:jc w:val="center"/>
        <w:textAlignment w:val="auto"/>
      </w:pPr>
      <w:bookmarkStart w:name="_GoBack" w:id="0"/>
      <w:bookmarkEnd w:id="0"/>
      <w:r w:rsidRPr="00670240">
        <w:rPr>
          <w:noProof/>
          <w:lang w:val="en-US" w:eastAsia="en-US" w:bidi="ar-SA"/>
        </w:rPr>
        <w:drawing>
          <wp:inline distT="0" distB="0" distL="0" distR="0" wp14:anchorId="372D2F77" wp14:editId="5B82C178">
            <wp:extent cx="1792800" cy="1242000"/>
            <wp:effectExtent l="0" t="0" r="0" b="0"/>
            <wp:docPr id="2" name="Picture 2" title="EESC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fr-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Pr="00670240">
        <w:rPr>
          <w:noProof/>
          <w:sz w:val="20"/>
          <w:lang w:val="en-US" w:eastAsia="en-US" w:bidi="ar-SA"/>
        </w:rPr>
        <mc:AlternateContent>
          <mc:Choice Requires="wps">
            <w:drawing>
              <wp:anchor distT="0" distB="0" distL="114300" distR="114300" simplePos="0" relativeHeight="251661312" behindDoc="1" locked="0" layoutInCell="0" allowOverlap="1" wp14:editId="6C00E7E1" wp14:anchorId="4244FF3F">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C57D5" w:rsidR="00D706CC" w:rsidP="009C268F" w:rsidRDefault="00D706CC">
                            <w:pPr>
                              <w:jc w:val="center"/>
                              <w:rPr>
                                <w:rFonts w:ascii="Arial" w:hAnsi="Arial" w:cs="Arial"/>
                                <w:b/>
                                <w:bCs/>
                                <w:sz w:val="48"/>
                              </w:rPr>
                            </w:pPr>
                            <w:r w:rsidRPr="002C57D5">
                              <w:rPr>
                                <w:rFonts w:ascii="Arial" w:hAnsi="Arial" w:cs="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44FF3F">
                <v:stroke joinstyle="miter"/>
                <v:path gradientshapeok="t" o:connecttype="rect"/>
              </v:shapetype>
              <v:shape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C57D5" w:rsidR="00D706CC" w:rsidP="009C268F" w:rsidRDefault="00D706CC">
                      <w:pPr>
                        <w:jc w:val="center"/>
                        <w:rPr>
                          <w:rFonts w:ascii="Arial" w:hAnsi="Arial" w:cs="Arial"/>
                          <w:b/>
                          <w:bCs/>
                          <w:sz w:val="48"/>
                        </w:rPr>
                      </w:pPr>
                      <w:r w:rsidRPr="002C57D5">
                        <w:rPr>
                          <w:rFonts w:ascii="Arial" w:hAnsi="Arial" w:cs="Arial"/>
                          <w:b/>
                          <w:bCs/>
                          <w:sz w:val="48"/>
                        </w:rPr>
                        <w:t>FR</w:t>
                      </w:r>
                    </w:p>
                  </w:txbxContent>
                </v:textbox>
                <w10:wrap anchorx="page" anchory="page"/>
              </v:shape>
            </w:pict>
          </mc:Fallback>
        </mc:AlternateContent>
      </w:r>
    </w:p>
    <w:p w:rsidRPr="00670240" w:rsidR="009C268F" w:rsidP="006F60ED" w:rsidRDefault="009C268F">
      <w:pPr>
        <w:overflowPunct/>
        <w:adjustRightInd/>
        <w:textAlignment w:val="auto"/>
      </w:pPr>
    </w:p>
    <w:p w:rsidRPr="00670240" w:rsidR="00646AC2" w:rsidP="006F60ED" w:rsidRDefault="005A4D6E">
      <w:pPr>
        <w:overflowPunct/>
        <w:adjustRightInd/>
        <w:jc w:val="right"/>
        <w:textAlignment w:val="auto"/>
      </w:pPr>
      <w:r w:rsidRPr="00670240">
        <w:rPr>
          <w:b/>
        </w:rPr>
        <w:t>TEN</w:t>
      </w:r>
      <w:r w:rsidRPr="00670240" w:rsidR="00011D33">
        <w:rPr>
          <w:b/>
        </w:rPr>
        <w:t>/</w:t>
      </w:r>
      <w:r w:rsidRPr="00670240">
        <w:rPr>
          <w:b/>
        </w:rPr>
        <w:t>718</w:t>
      </w:r>
    </w:p>
    <w:p w:rsidRPr="00670240" w:rsidR="00563C84" w:rsidP="006F60ED" w:rsidRDefault="00B94F17">
      <w:pPr>
        <w:overflowPunct/>
        <w:adjustRightInd/>
        <w:jc w:val="right"/>
        <w:textAlignment w:val="auto"/>
      </w:pPr>
      <w:r w:rsidRPr="00670240">
        <w:rPr>
          <w:b/>
        </w:rPr>
        <w:t>Stratégie de l</w:t>
      </w:r>
      <w:r w:rsidRPr="00670240" w:rsidR="00D706CC">
        <w:rPr>
          <w:b/>
        </w:rPr>
        <w:t>’</w:t>
      </w:r>
      <w:r w:rsidRPr="00670240">
        <w:rPr>
          <w:b/>
        </w:rPr>
        <w:t>hydrogène</w:t>
      </w:r>
    </w:p>
    <w:p w:rsidRPr="00670240" w:rsidR="009B30AA" w:rsidP="006F60ED" w:rsidRDefault="009B30AA">
      <w:pPr>
        <w:overflowPunct/>
        <w:adjustRightInd/>
        <w:textAlignment w:val="auto"/>
      </w:pPr>
    </w:p>
    <w:p w:rsidRPr="00670240" w:rsidR="009B30AA" w:rsidP="006F60ED" w:rsidRDefault="009B30AA">
      <w:pPr>
        <w:overflowPunct/>
        <w:adjustRightInd/>
        <w:textAlignment w:val="auto"/>
      </w:pPr>
    </w:p>
    <w:p w:rsidRPr="00670240" w:rsidR="00646AC2" w:rsidP="006F60ED" w:rsidRDefault="00CF7880">
      <w:pPr>
        <w:overflowPunct/>
        <w:adjustRightInd/>
        <w:jc w:val="center"/>
        <w:textAlignment w:val="auto"/>
      </w:pPr>
      <w:r w:rsidRPr="00670240">
        <w:rPr>
          <w:b/>
          <w:sz w:val="28"/>
        </w:rPr>
        <w:t>AVIS</w:t>
      </w:r>
      <w:r w:rsidRPr="00670240" w:rsidR="00FF3759">
        <w:br/>
      </w:r>
      <w:r w:rsidRPr="00670240" w:rsidR="00FF3759">
        <w:br/>
      </w:r>
      <w:r w:rsidRPr="00E52C4A" w:rsidR="00CA54C9">
        <w:t>Comit</w:t>
      </w:r>
      <w:r w:rsidR="00CA54C9">
        <w:t>é économique et social européen</w:t>
      </w:r>
      <w:r w:rsidRPr="00670240" w:rsidR="00FF3759">
        <w:br/>
      </w:r>
      <w:r w:rsidRPr="00670240" w:rsidR="00CA05F9">
        <w:br/>
      </w:r>
      <w:r w:rsidRPr="00670240" w:rsidR="002B7D69">
        <w:rPr>
          <w:b/>
        </w:rPr>
        <w:t xml:space="preserve">Communication de la Commission au Parlement européen, au Conseil, au Comité économique </w:t>
      </w:r>
      <w:r w:rsidRPr="00670240" w:rsidR="00EC07CC">
        <w:rPr>
          <w:b/>
        </w:rPr>
        <w:br/>
      </w:r>
      <w:r w:rsidRPr="00670240" w:rsidR="002B7D69">
        <w:rPr>
          <w:b/>
        </w:rPr>
        <w:t>et social</w:t>
      </w:r>
      <w:r w:rsidRPr="00670240" w:rsidR="00CF3243">
        <w:rPr>
          <w:b/>
        </w:rPr>
        <w:t xml:space="preserve"> européen et</w:t>
      </w:r>
      <w:r w:rsidRPr="00670240" w:rsidR="002B7D69">
        <w:rPr>
          <w:b/>
        </w:rPr>
        <w:t xml:space="preserve"> au Comité des régions</w:t>
      </w:r>
      <w:r w:rsidRPr="00670240" w:rsidR="00C80068">
        <w:rPr>
          <w:b/>
        </w:rPr>
        <w:br/>
      </w:r>
      <w:r w:rsidRPr="00670240" w:rsidR="002B7D69">
        <w:rPr>
          <w:b/>
        </w:rPr>
        <w:t xml:space="preserve">Une stratégie </w:t>
      </w:r>
      <w:r w:rsidRPr="00670240" w:rsidR="00CF3243">
        <w:rPr>
          <w:b/>
        </w:rPr>
        <w:t>de l</w:t>
      </w:r>
      <w:r w:rsidRPr="00670240" w:rsidR="00D706CC">
        <w:rPr>
          <w:b/>
        </w:rPr>
        <w:t>’</w:t>
      </w:r>
      <w:r w:rsidRPr="00670240" w:rsidR="002B7D69">
        <w:rPr>
          <w:b/>
        </w:rPr>
        <w:t xml:space="preserve">hydrogène pour une Europe </w:t>
      </w:r>
      <w:r w:rsidRPr="00670240" w:rsidR="00CF3243">
        <w:rPr>
          <w:b/>
        </w:rPr>
        <w:t xml:space="preserve">climatiquement </w:t>
      </w:r>
      <w:r w:rsidRPr="00670240" w:rsidR="002B7D69">
        <w:rPr>
          <w:b/>
        </w:rPr>
        <w:t>neutre</w:t>
      </w:r>
      <w:r w:rsidRPr="00670240" w:rsidR="00C80068">
        <w:rPr>
          <w:b/>
        </w:rPr>
        <w:br/>
      </w:r>
      <w:r w:rsidRPr="00670240" w:rsidR="00FF3759">
        <w:t>[COM(</w:t>
      </w:r>
      <w:r w:rsidRPr="00670240" w:rsidR="002B7D69">
        <w:t>2020</w:t>
      </w:r>
      <w:r w:rsidRPr="00670240" w:rsidR="00FF3759">
        <w:t>)</w:t>
      </w:r>
      <w:r w:rsidRPr="00670240" w:rsidR="002B7D69">
        <w:t xml:space="preserve"> 301 final</w:t>
      </w:r>
      <w:r w:rsidRPr="00670240" w:rsidR="00FF3759">
        <w:t>]</w:t>
      </w:r>
    </w:p>
    <w:p w:rsidRPr="00670240" w:rsidR="009B30AA" w:rsidRDefault="009B30AA">
      <w:pPr>
        <w:overflowPunct/>
        <w:adjustRightInd/>
        <w:jc w:val="center"/>
        <w:textAlignment w:val="auto"/>
      </w:pPr>
    </w:p>
    <w:p w:rsidRPr="00670240" w:rsidR="00704FBB" w:rsidRDefault="002B7D69">
      <w:pPr>
        <w:overflowPunct/>
        <w:adjustRightInd/>
        <w:jc w:val="center"/>
        <w:textAlignment w:val="auto"/>
        <w:rPr>
          <w:b/>
        </w:rPr>
      </w:pPr>
      <w:r w:rsidRPr="00670240">
        <w:t>Rapporteur</w:t>
      </w:r>
      <w:r w:rsidRPr="00670240" w:rsidR="007F5E0D">
        <w:t xml:space="preserve">: </w:t>
      </w:r>
      <w:r w:rsidRPr="00670240">
        <w:rPr>
          <w:b/>
        </w:rPr>
        <w:t>Pierre-Jean COULON</w:t>
      </w:r>
    </w:p>
    <w:p w:rsidRPr="00670240" w:rsidR="00E32DC6" w:rsidRDefault="00E32DC6"/>
    <w:p w:rsidRPr="00670240" w:rsidR="00E32DC6" w:rsidRDefault="00E32DC6"/>
    <w:p w:rsidRPr="00670240" w:rsidR="00E32DC6" w:rsidRDefault="00E32DC6">
      <w:pPr>
        <w:sectPr w:rsidRPr="00670240" w:rsidR="00E32DC6" w:rsidSect="00113A77">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369"/>
        <w:gridCol w:w="5704"/>
      </w:tblGrid>
      <w:tr w:rsidR="009E63E9">
        <w:tc>
          <w:tcPr>
            <w:tcW w:w="3369" w:type="dxa"/>
          </w:tcPr>
          <w:p w:rsidRPr="00670240" w:rsidR="0011656A" w:rsidRDefault="0090053A">
            <w:pPr>
              <w:overflowPunct/>
              <w:adjustRightInd/>
              <w:jc w:val="left"/>
              <w:textAlignment w:val="auto"/>
              <w:rPr>
                <w:szCs w:val="22"/>
              </w:rPr>
            </w:pPr>
            <w:r w:rsidRPr="00670240">
              <w:lastRenderedPageBreak/>
              <w:t xml:space="preserve">Consultation </w:t>
            </w:r>
          </w:p>
        </w:tc>
        <w:tc>
          <w:tcPr>
            <w:tcW w:w="5704" w:type="dxa"/>
          </w:tcPr>
          <w:p w:rsidRPr="00670240" w:rsidR="0011656A" w:rsidRDefault="00CA39F5">
            <w:pPr>
              <w:overflowPunct/>
              <w:adjustRightInd/>
              <w:jc w:val="left"/>
              <w:textAlignment w:val="auto"/>
              <w:rPr>
                <w:szCs w:val="22"/>
              </w:rPr>
            </w:pPr>
            <w:r w:rsidRPr="00670240">
              <w:t>Commission européenne, 23</w:t>
            </w:r>
            <w:r w:rsidRPr="00670240" w:rsidR="008053E9">
              <w:t>/</w:t>
            </w:r>
            <w:r w:rsidRPr="00670240">
              <w:t>09</w:t>
            </w:r>
            <w:r w:rsidRPr="00670240" w:rsidR="008053E9">
              <w:t>/</w:t>
            </w:r>
            <w:r w:rsidRPr="00670240">
              <w:t>2020</w:t>
            </w:r>
          </w:p>
        </w:tc>
      </w:tr>
      <w:tr w:rsidR="009E63E9">
        <w:trPr>
          <w:trHeight w:val="251"/>
        </w:trPr>
        <w:tc>
          <w:tcPr>
            <w:tcW w:w="3369" w:type="dxa"/>
          </w:tcPr>
          <w:p w:rsidRPr="00670240" w:rsidR="0016503F" w:rsidRDefault="0016503F">
            <w:pPr>
              <w:overflowPunct/>
              <w:adjustRightInd/>
              <w:jc w:val="left"/>
              <w:textAlignment w:val="auto"/>
              <w:rPr>
                <w:szCs w:val="22"/>
              </w:rPr>
            </w:pPr>
            <w:r w:rsidRPr="00670240">
              <w:t>Base juridique</w:t>
            </w:r>
          </w:p>
        </w:tc>
        <w:tc>
          <w:tcPr>
            <w:tcW w:w="5704" w:type="dxa"/>
          </w:tcPr>
          <w:p w:rsidRPr="00670240" w:rsidR="0016503F" w:rsidP="00AE47DE" w:rsidRDefault="0016503F">
            <w:pPr>
              <w:overflowPunct/>
              <w:adjustRightInd/>
              <w:textAlignment w:val="auto"/>
              <w:rPr>
                <w:szCs w:val="22"/>
              </w:rPr>
            </w:pPr>
            <w:r w:rsidRPr="00670240">
              <w:t>Article</w:t>
            </w:r>
            <w:r w:rsidRPr="00670240" w:rsidR="00D27DAD">
              <w:t> </w:t>
            </w:r>
            <w:r w:rsidRPr="00670240" w:rsidR="00DA4AAA">
              <w:t>304</w:t>
            </w:r>
            <w:r w:rsidRPr="00670240">
              <w:t xml:space="preserve"> du traité sur le fonctionnement de l</w:t>
            </w:r>
            <w:r w:rsidRPr="00670240" w:rsidR="00D706CC">
              <w:t>’</w:t>
            </w:r>
            <w:r w:rsidRPr="00670240">
              <w:t>Union européenne</w:t>
            </w:r>
          </w:p>
        </w:tc>
      </w:tr>
      <w:tr w:rsidR="009E63E9">
        <w:trPr>
          <w:trHeight w:val="250"/>
        </w:trPr>
        <w:tc>
          <w:tcPr>
            <w:tcW w:w="3369" w:type="dxa"/>
          </w:tcPr>
          <w:p w:rsidRPr="00670240" w:rsidR="0016503F" w:rsidRDefault="0016503F">
            <w:pPr>
              <w:overflowPunct/>
              <w:adjustRightInd/>
              <w:jc w:val="left"/>
              <w:textAlignment w:val="auto"/>
              <w:rPr>
                <w:szCs w:val="22"/>
              </w:rPr>
            </w:pPr>
          </w:p>
        </w:tc>
        <w:tc>
          <w:tcPr>
            <w:tcW w:w="5704" w:type="dxa"/>
          </w:tcPr>
          <w:p w:rsidRPr="00670240" w:rsidR="0016503F" w:rsidRDefault="0016503F">
            <w:pPr>
              <w:overflowPunct/>
              <w:adjustRightInd/>
              <w:jc w:val="left"/>
              <w:textAlignment w:val="auto"/>
              <w:rPr>
                <w:szCs w:val="22"/>
              </w:rPr>
            </w:pPr>
          </w:p>
        </w:tc>
      </w:tr>
      <w:tr w:rsidR="009E63E9">
        <w:trPr>
          <w:trHeight w:val="250"/>
        </w:trPr>
        <w:tc>
          <w:tcPr>
            <w:tcW w:w="3369" w:type="dxa"/>
          </w:tcPr>
          <w:p w:rsidRPr="00670240" w:rsidR="00372135" w:rsidRDefault="000E6A87">
            <w:pPr>
              <w:overflowPunct/>
              <w:adjustRightInd/>
              <w:jc w:val="left"/>
              <w:textAlignment w:val="auto"/>
              <w:rPr>
                <w:szCs w:val="22"/>
              </w:rPr>
            </w:pPr>
            <w:r w:rsidRPr="00670240">
              <w:rPr>
                <w:bCs/>
              </w:rPr>
              <w:t>Décision de l</w:t>
            </w:r>
            <w:r w:rsidRPr="00670240" w:rsidR="00D706CC">
              <w:t>’</w:t>
            </w:r>
            <w:r w:rsidRPr="00670240">
              <w:rPr>
                <w:bCs/>
              </w:rPr>
              <w:t>assemblée plénière</w:t>
            </w:r>
          </w:p>
        </w:tc>
        <w:tc>
          <w:tcPr>
            <w:tcW w:w="5704" w:type="dxa"/>
          </w:tcPr>
          <w:p w:rsidRPr="00670240" w:rsidR="00372135" w:rsidP="00272583" w:rsidRDefault="00272583">
            <w:pPr>
              <w:overflowPunct/>
              <w:adjustRightInd/>
              <w:jc w:val="left"/>
              <w:textAlignment w:val="auto"/>
              <w:rPr>
                <w:szCs w:val="22"/>
              </w:rPr>
            </w:pPr>
            <w:r w:rsidRPr="00670240">
              <w:t>14</w:t>
            </w:r>
            <w:r w:rsidRPr="00670240" w:rsidR="008053E9">
              <w:t>/</w:t>
            </w:r>
            <w:r w:rsidRPr="00670240">
              <w:t>07</w:t>
            </w:r>
            <w:r w:rsidRPr="00670240" w:rsidR="008053E9">
              <w:t>/</w:t>
            </w:r>
            <w:r w:rsidRPr="00670240">
              <w:t>2020</w:t>
            </w:r>
          </w:p>
        </w:tc>
      </w:tr>
      <w:tr w:rsidR="009E63E9">
        <w:tc>
          <w:tcPr>
            <w:tcW w:w="3369" w:type="dxa"/>
          </w:tcPr>
          <w:p w:rsidRPr="00670240" w:rsidR="00BA1290" w:rsidRDefault="00BA1290">
            <w:pPr>
              <w:overflowPunct/>
              <w:adjustRightInd/>
              <w:jc w:val="left"/>
              <w:textAlignment w:val="auto"/>
            </w:pPr>
          </w:p>
        </w:tc>
        <w:tc>
          <w:tcPr>
            <w:tcW w:w="5704" w:type="dxa"/>
          </w:tcPr>
          <w:p w:rsidRPr="00670240" w:rsidR="00BA1290" w:rsidRDefault="00BA1290">
            <w:pPr>
              <w:overflowPunct/>
              <w:adjustRightInd/>
              <w:jc w:val="left"/>
              <w:textAlignment w:val="auto"/>
            </w:pPr>
          </w:p>
        </w:tc>
      </w:tr>
      <w:tr w:rsidR="009E63E9">
        <w:tc>
          <w:tcPr>
            <w:tcW w:w="3369" w:type="dxa"/>
          </w:tcPr>
          <w:p w:rsidRPr="00670240" w:rsidR="00DF5B64" w:rsidRDefault="00AD4B4F">
            <w:pPr>
              <w:overflowPunct/>
              <w:adjustRightInd/>
              <w:jc w:val="left"/>
              <w:textAlignment w:val="auto"/>
              <w:rPr>
                <w:szCs w:val="22"/>
              </w:rPr>
            </w:pPr>
            <w:r w:rsidRPr="00670240">
              <w:t>Compétence</w:t>
            </w:r>
          </w:p>
        </w:tc>
        <w:tc>
          <w:tcPr>
            <w:tcW w:w="5704" w:type="dxa"/>
          </w:tcPr>
          <w:p w:rsidRPr="00670240" w:rsidR="00DF5B64" w:rsidP="00AE47DE" w:rsidRDefault="00D27DAD">
            <w:pPr>
              <w:overflowPunct/>
              <w:adjustRightInd/>
              <w:textAlignment w:val="auto"/>
              <w:rPr>
                <w:szCs w:val="22"/>
              </w:rPr>
            </w:pPr>
            <w:r w:rsidRPr="00670240">
              <w:t>Section «</w:t>
            </w:r>
            <w:r w:rsidRPr="00670240" w:rsidR="008D2B73">
              <w:t>Transports, énergie, infrastructures et société de l</w:t>
            </w:r>
            <w:r w:rsidRPr="00670240" w:rsidR="00D706CC">
              <w:t>’</w:t>
            </w:r>
            <w:r w:rsidRPr="00670240" w:rsidR="008D2B73">
              <w:t>information</w:t>
            </w:r>
            <w:r w:rsidRPr="00670240">
              <w:t>»</w:t>
            </w:r>
          </w:p>
        </w:tc>
      </w:tr>
      <w:tr w:rsidR="009E63E9">
        <w:tc>
          <w:tcPr>
            <w:tcW w:w="3369" w:type="dxa"/>
          </w:tcPr>
          <w:p w:rsidRPr="00670240" w:rsidR="00A156E6" w:rsidRDefault="00A156E6">
            <w:pPr>
              <w:overflowPunct/>
              <w:adjustRightInd/>
              <w:jc w:val="left"/>
              <w:textAlignment w:val="auto"/>
              <w:rPr>
                <w:szCs w:val="22"/>
              </w:rPr>
            </w:pPr>
            <w:r w:rsidRPr="00670240">
              <w:t xml:space="preserve">Adoption en </w:t>
            </w:r>
            <w:r w:rsidRPr="00670240" w:rsidR="008053E9">
              <w:t>section</w:t>
            </w:r>
          </w:p>
        </w:tc>
        <w:tc>
          <w:tcPr>
            <w:tcW w:w="5704" w:type="dxa"/>
          </w:tcPr>
          <w:p w:rsidRPr="00670240" w:rsidR="00A156E6" w:rsidP="00272583" w:rsidRDefault="00272583">
            <w:pPr>
              <w:overflowPunct/>
              <w:adjustRightInd/>
              <w:jc w:val="left"/>
              <w:textAlignment w:val="auto"/>
              <w:rPr>
                <w:szCs w:val="22"/>
              </w:rPr>
            </w:pPr>
            <w:r w:rsidRPr="00670240">
              <w:t>16</w:t>
            </w:r>
            <w:r w:rsidRPr="00670240" w:rsidR="008053E9">
              <w:t>/</w:t>
            </w:r>
            <w:r w:rsidRPr="00670240">
              <w:t>12</w:t>
            </w:r>
            <w:r w:rsidRPr="00670240" w:rsidR="008053E9">
              <w:t>/</w:t>
            </w:r>
            <w:r w:rsidRPr="00670240">
              <w:t>2020</w:t>
            </w:r>
          </w:p>
        </w:tc>
      </w:tr>
      <w:tr w:rsidR="009E63E9">
        <w:tc>
          <w:tcPr>
            <w:tcW w:w="3369" w:type="dxa"/>
          </w:tcPr>
          <w:p w:rsidRPr="00670240" w:rsidR="00A156E6" w:rsidRDefault="00A156E6">
            <w:pPr>
              <w:overflowPunct/>
              <w:adjustRightInd/>
              <w:jc w:val="left"/>
              <w:textAlignment w:val="auto"/>
              <w:rPr>
                <w:szCs w:val="22"/>
              </w:rPr>
            </w:pPr>
            <w:r w:rsidRPr="00670240">
              <w:t>Adoption en session plénière</w:t>
            </w:r>
          </w:p>
        </w:tc>
        <w:tc>
          <w:tcPr>
            <w:tcW w:w="5704" w:type="dxa"/>
          </w:tcPr>
          <w:p w:rsidRPr="00670240" w:rsidR="00A156E6" w:rsidP="00136A9A" w:rsidRDefault="00136A9A">
            <w:pPr>
              <w:overflowPunct/>
              <w:adjustRightInd/>
              <w:jc w:val="left"/>
              <w:textAlignment w:val="auto"/>
              <w:rPr>
                <w:szCs w:val="22"/>
              </w:rPr>
            </w:pPr>
            <w:r>
              <w:t>27</w:t>
            </w:r>
            <w:r w:rsidRPr="00670240" w:rsidR="004E70D8">
              <w:t>/</w:t>
            </w:r>
            <w:r>
              <w:t>01</w:t>
            </w:r>
            <w:r w:rsidRPr="00670240" w:rsidR="004E70D8">
              <w:t>/</w:t>
            </w:r>
            <w:r>
              <w:t>2021</w:t>
            </w:r>
          </w:p>
        </w:tc>
      </w:tr>
      <w:tr w:rsidR="009E63E9">
        <w:tc>
          <w:tcPr>
            <w:tcW w:w="3369" w:type="dxa"/>
          </w:tcPr>
          <w:p w:rsidRPr="00670240" w:rsidR="00BA1290" w:rsidRDefault="008053E9">
            <w:pPr>
              <w:overflowPunct/>
              <w:adjustRightInd/>
              <w:jc w:val="left"/>
              <w:textAlignment w:val="auto"/>
              <w:rPr>
                <w:szCs w:val="22"/>
              </w:rPr>
            </w:pPr>
            <w:r w:rsidRPr="00670240">
              <w:t>Session plénière nº</w:t>
            </w:r>
          </w:p>
        </w:tc>
        <w:tc>
          <w:tcPr>
            <w:tcW w:w="5704" w:type="dxa"/>
          </w:tcPr>
          <w:p w:rsidRPr="00670240" w:rsidR="00BA1290" w:rsidRDefault="00136A9A">
            <w:pPr>
              <w:overflowPunct/>
              <w:adjustRightInd/>
              <w:jc w:val="left"/>
              <w:textAlignment w:val="auto"/>
              <w:rPr>
                <w:szCs w:val="22"/>
              </w:rPr>
            </w:pPr>
            <w:r>
              <w:t>557</w:t>
            </w:r>
          </w:p>
        </w:tc>
      </w:tr>
      <w:tr w:rsidR="009E63E9">
        <w:tc>
          <w:tcPr>
            <w:tcW w:w="3369" w:type="dxa"/>
          </w:tcPr>
          <w:p w:rsidRPr="00670240" w:rsidR="00D423D4" w:rsidRDefault="0043024C">
            <w:pPr>
              <w:overflowPunct/>
              <w:adjustRightInd/>
              <w:jc w:val="left"/>
            </w:pPr>
            <w:r w:rsidRPr="00670240">
              <w:t xml:space="preserve">Résultat du vote </w:t>
            </w:r>
            <w:r w:rsidRPr="00670240">
              <w:br/>
              <w:t>(pour/contre/abstentions)</w:t>
            </w:r>
          </w:p>
        </w:tc>
        <w:tc>
          <w:tcPr>
            <w:tcW w:w="5704" w:type="dxa"/>
            <w:vAlign w:val="bottom"/>
          </w:tcPr>
          <w:p w:rsidRPr="00670240" w:rsidR="00A156E6" w:rsidP="00136A9A" w:rsidRDefault="00136A9A">
            <w:pPr>
              <w:overflowPunct/>
              <w:adjustRightInd/>
              <w:jc w:val="left"/>
              <w:textAlignment w:val="auto"/>
              <w:rPr>
                <w:szCs w:val="22"/>
              </w:rPr>
            </w:pPr>
            <w:r>
              <w:t>232</w:t>
            </w:r>
            <w:r w:rsidRPr="00670240">
              <w:t>/</w:t>
            </w:r>
            <w:r>
              <w:t>4</w:t>
            </w:r>
            <w:r w:rsidRPr="00670240">
              <w:t>/</w:t>
            </w:r>
            <w:r>
              <w:t>3</w:t>
            </w:r>
          </w:p>
        </w:tc>
      </w:tr>
    </w:tbl>
    <w:p w:rsidRPr="00670240" w:rsidR="0090053A" w:rsidRDefault="0090053A">
      <w:pPr>
        <w:overflowPunct/>
        <w:adjustRightInd/>
        <w:textAlignment w:val="auto"/>
      </w:pPr>
    </w:p>
    <w:p w:rsidRPr="00670240" w:rsidR="00646AC2" w:rsidRDefault="00646AC2">
      <w:pPr>
        <w:overflowPunct/>
        <w:adjustRightInd/>
        <w:textAlignment w:val="auto"/>
      </w:pPr>
      <w:r w:rsidRPr="00670240">
        <w:br w:type="page"/>
      </w:r>
    </w:p>
    <w:p w:rsidRPr="00670240" w:rsidR="00146641" w:rsidP="00160404" w:rsidRDefault="00146641">
      <w:pPr>
        <w:pStyle w:val="Heading1"/>
        <w:ind w:left="567" w:hanging="567"/>
        <w:rPr>
          <w:b/>
        </w:rPr>
      </w:pPr>
      <w:r w:rsidRPr="00670240">
        <w:rPr>
          <w:b/>
        </w:rPr>
        <w:t>Conclusions et recommandations</w:t>
      </w:r>
    </w:p>
    <w:p w:rsidRPr="00670240" w:rsidR="009F4D19" w:rsidP="00AA2C91" w:rsidRDefault="009F4D19">
      <w:pPr>
        <w:keepNext/>
      </w:pPr>
    </w:p>
    <w:p w:rsidRPr="00670240" w:rsidR="00CB143F" w:rsidP="00160404" w:rsidRDefault="004E2486">
      <w:pPr>
        <w:pStyle w:val="Heading2"/>
      </w:pPr>
      <w:r w:rsidRPr="00670240">
        <w:t>Le CESE considère que</w:t>
      </w:r>
      <w:r w:rsidRPr="00670240" w:rsidR="00CB143F">
        <w:t xml:space="preserve"> l</w:t>
      </w:r>
      <w:r w:rsidRPr="00670240" w:rsidR="00D706CC">
        <w:t>’</w:t>
      </w:r>
      <w:r w:rsidRPr="00670240" w:rsidR="00E540ED">
        <w:t>Union européenne doit surmonter</w:t>
      </w:r>
      <w:r w:rsidRPr="00670240" w:rsidR="00CB143F">
        <w:t xml:space="preserve"> la crise </w:t>
      </w:r>
      <w:r w:rsidRPr="00670240" w:rsidR="00D27DAD">
        <w:t>de la</w:t>
      </w:r>
      <w:r w:rsidRPr="00670240" w:rsidR="00CB143F">
        <w:t xml:space="preserve"> </w:t>
      </w:r>
      <w:r w:rsidRPr="00670240" w:rsidR="00D27DAD">
        <w:t>COVID</w:t>
      </w:r>
      <w:r w:rsidRPr="00670240" w:rsidR="00CB143F">
        <w:t xml:space="preserve">-19 en construisant un nouveau modèle de société, rendant nos économies plus vertes, plus justes et plus résistantes aux chocs futurs. </w:t>
      </w:r>
      <w:r w:rsidRPr="00670240" w:rsidR="00E540ED">
        <w:t>Les fonds de relance européens</w:t>
      </w:r>
      <w:r w:rsidRPr="00670240" w:rsidR="00CB143F">
        <w:t xml:space="preserve"> doivent permettre aux </w:t>
      </w:r>
      <w:r w:rsidRPr="00670240" w:rsidR="0059495D">
        <w:t>entreprises, aux</w:t>
      </w:r>
      <w:r w:rsidRPr="00670240">
        <w:t xml:space="preserve"> innovateurs, </w:t>
      </w:r>
      <w:r w:rsidRPr="00670240" w:rsidR="00CB143F">
        <w:t>aux travailleurs et aux</w:t>
      </w:r>
      <w:r w:rsidRPr="00670240" w:rsidR="00E540ED">
        <w:t xml:space="preserve"> investisseurs </w:t>
      </w:r>
      <w:r w:rsidRPr="00670240" w:rsidR="00CB143F">
        <w:t>d</w:t>
      </w:r>
      <w:r w:rsidRPr="00670240" w:rsidR="00D706CC">
        <w:t>’</w:t>
      </w:r>
      <w:r w:rsidRPr="00670240" w:rsidR="00CB143F">
        <w:t>affirmer</w:t>
      </w:r>
      <w:r w:rsidRPr="00670240">
        <w:t xml:space="preserve"> leur rôle de chefs de file au niveau mondial sur les marchés de l</w:t>
      </w:r>
      <w:r w:rsidRPr="00670240" w:rsidR="00D706CC">
        <w:t>’</w:t>
      </w:r>
      <w:r w:rsidRPr="00670240">
        <w:t>énergie propre en pleine expansion.</w:t>
      </w:r>
    </w:p>
    <w:p w:rsidRPr="00670240" w:rsidR="00CB143F" w:rsidRDefault="00CB143F">
      <w:pPr>
        <w:ind w:left="567" w:hanging="567"/>
      </w:pPr>
    </w:p>
    <w:p w:rsidRPr="00670240" w:rsidR="0020084D" w:rsidP="00160404" w:rsidRDefault="00CB143F">
      <w:pPr>
        <w:pStyle w:val="Heading2"/>
      </w:pPr>
      <w:r w:rsidRPr="00670240">
        <w:t>Le CESE soutient</w:t>
      </w:r>
      <w:r w:rsidRPr="00670240" w:rsidR="0020084D">
        <w:t xml:space="preserve"> donc</w:t>
      </w:r>
      <w:r w:rsidRPr="00670240">
        <w:t xml:space="preserve"> la stratégie de la Commission européenne visant à créer un environnement propice pour accroître l</w:t>
      </w:r>
      <w:r w:rsidRPr="00670240" w:rsidR="00D706CC">
        <w:t>’</w:t>
      </w:r>
      <w:r w:rsidRPr="00670240">
        <w:t>offre et la demande d</w:t>
      </w:r>
      <w:r w:rsidRPr="00670240" w:rsidR="00D706CC">
        <w:t>’</w:t>
      </w:r>
      <w:r w:rsidRPr="00670240">
        <w:t>hydrogène pour une économie climatiquement neutre</w:t>
      </w:r>
      <w:r w:rsidRPr="00670240" w:rsidR="0059495D">
        <w:t xml:space="preserve">. </w:t>
      </w:r>
      <w:r w:rsidRPr="00670240" w:rsidR="00890CDA">
        <w:t>Il souligne que la priorité doit être donnée à l</w:t>
      </w:r>
      <w:r w:rsidRPr="00670240" w:rsidR="00D706CC">
        <w:t>’</w:t>
      </w:r>
      <w:r w:rsidRPr="00670240" w:rsidR="00890CDA">
        <w:t xml:space="preserve">hydrogène propre, y compris dans </w:t>
      </w:r>
      <w:r w:rsidRPr="00670240" w:rsidR="00961BCE">
        <w:t>le</w:t>
      </w:r>
      <w:r w:rsidRPr="00670240" w:rsidR="00890CDA">
        <w:t xml:space="preserve"> cadre de l</w:t>
      </w:r>
      <w:r w:rsidRPr="00670240" w:rsidR="00D706CC">
        <w:t>’</w:t>
      </w:r>
      <w:r w:rsidRPr="00670240" w:rsidR="00890CDA">
        <w:t>Alliance européenne de l</w:t>
      </w:r>
      <w:r w:rsidRPr="00670240" w:rsidR="00D706CC">
        <w:t>’</w:t>
      </w:r>
      <w:r w:rsidRPr="00670240" w:rsidR="00890CDA">
        <w:t>hydrogène, en tant</w:t>
      </w:r>
      <w:r w:rsidRPr="00670240" w:rsidR="00EB0FC9">
        <w:t xml:space="preserve"> que</w:t>
      </w:r>
      <w:r w:rsidRPr="00670240" w:rsidR="00890CDA">
        <w:t xml:space="preserve"> seule option compatible avec les objectifs de neutralité climatique.</w:t>
      </w:r>
    </w:p>
    <w:p w:rsidRPr="00670240" w:rsidR="0020084D" w:rsidRDefault="0020084D">
      <w:pPr>
        <w:ind w:left="567" w:hanging="567"/>
      </w:pPr>
    </w:p>
    <w:p w:rsidRPr="00670240" w:rsidR="0022054D" w:rsidP="00160404" w:rsidRDefault="0020084D">
      <w:pPr>
        <w:pStyle w:val="Heading2"/>
      </w:pPr>
      <w:r w:rsidRPr="00670240">
        <w:t>Le CESE souligne qu</w:t>
      </w:r>
      <w:r w:rsidRPr="00670240" w:rsidR="00D706CC">
        <w:t>’</w:t>
      </w:r>
      <w:r w:rsidRPr="00670240">
        <w:t>établir un</w:t>
      </w:r>
      <w:r w:rsidRPr="00670240" w:rsidR="00890CDA">
        <w:t>e</w:t>
      </w:r>
      <w:r w:rsidRPr="00670240">
        <w:t xml:space="preserve"> </w:t>
      </w:r>
      <w:r w:rsidRPr="00670240" w:rsidR="00890CDA">
        <w:t>économie de l</w:t>
      </w:r>
      <w:r w:rsidRPr="00670240" w:rsidR="00D706CC">
        <w:t>’</w:t>
      </w:r>
      <w:r w:rsidRPr="00670240">
        <w:t xml:space="preserve">hydrogène propre en Europe </w:t>
      </w:r>
      <w:r w:rsidRPr="00670240" w:rsidR="0059495D">
        <w:t>constitue un seul volet de la stratégie visant à mieux relier les différents secteurs énergétiques de l</w:t>
      </w:r>
      <w:r w:rsidRPr="00670240" w:rsidR="00D25294">
        <w:t>’</w:t>
      </w:r>
      <w:r w:rsidRPr="00670240" w:rsidR="0059495D">
        <w:t>UE</w:t>
      </w:r>
      <w:r w:rsidRPr="00670240">
        <w:t>. Le</w:t>
      </w:r>
      <w:r w:rsidRPr="00670240" w:rsidR="0059495D">
        <w:t xml:space="preserve"> CESE </w:t>
      </w:r>
      <w:r w:rsidRPr="00670240" w:rsidR="00CB143F">
        <w:t xml:space="preserve">souligne </w:t>
      </w:r>
      <w:r w:rsidRPr="00670240">
        <w:t xml:space="preserve">donc </w:t>
      </w:r>
      <w:r w:rsidRPr="00670240" w:rsidR="00606E82">
        <w:t>que l</w:t>
      </w:r>
      <w:r w:rsidRPr="00670240" w:rsidR="00D706CC">
        <w:t>’</w:t>
      </w:r>
      <w:r w:rsidRPr="00670240" w:rsidR="004E2486">
        <w:t>UE devrait revoir à la hausse ses ambitions pour permettre l</w:t>
      </w:r>
      <w:r w:rsidRPr="00670240" w:rsidR="00D706CC">
        <w:t>’</w:t>
      </w:r>
      <w:r w:rsidRPr="00670240" w:rsidR="004E2486">
        <w:t>émergence d</w:t>
      </w:r>
      <w:r w:rsidRPr="00670240" w:rsidR="00D706CC">
        <w:t>’</w:t>
      </w:r>
      <w:r w:rsidRPr="00670240" w:rsidR="004E2486">
        <w:t xml:space="preserve">un </w:t>
      </w:r>
      <w:r w:rsidRPr="00670240" w:rsidR="0059495D">
        <w:t xml:space="preserve">système </w:t>
      </w:r>
      <w:r w:rsidRPr="00670240" w:rsidR="00242DBF">
        <w:t>énergétique</w:t>
      </w:r>
      <w:r w:rsidRPr="00670240" w:rsidR="0059495D">
        <w:t xml:space="preserve"> propre</w:t>
      </w:r>
      <w:r w:rsidRPr="00670240" w:rsidR="004E2486">
        <w:t>, tel que les énergies renouvelables et l</w:t>
      </w:r>
      <w:r w:rsidRPr="00670240" w:rsidR="00D706CC">
        <w:t>’</w:t>
      </w:r>
      <w:r w:rsidRPr="00670240" w:rsidR="004E2486">
        <w:t>efficacité énergétique, afin d</w:t>
      </w:r>
      <w:r w:rsidRPr="00670240" w:rsidR="00D706CC">
        <w:t>’</w:t>
      </w:r>
      <w:r w:rsidRPr="00670240" w:rsidR="004E2486">
        <w:t>offrir aux entreprises européennes un marché intérieur solide, où l</w:t>
      </w:r>
      <w:r w:rsidRPr="00670240" w:rsidR="00D706CC">
        <w:t>’</w:t>
      </w:r>
      <w:r w:rsidRPr="00670240" w:rsidR="004E2486">
        <w:t>innovation peut être déployée en toute sécurité, et une stratégie industrielle intégrée, visant à exporter des solutions énergétiques propres dans le reste du monde.</w:t>
      </w:r>
    </w:p>
    <w:p w:rsidRPr="00670240" w:rsidR="0022054D" w:rsidP="00AA2C91" w:rsidRDefault="0022054D">
      <w:pPr>
        <w:ind w:left="567" w:hanging="567"/>
      </w:pPr>
    </w:p>
    <w:p w:rsidRPr="00670240" w:rsidR="00890CDA" w:rsidP="00160404" w:rsidRDefault="00890CDA">
      <w:pPr>
        <w:pStyle w:val="Heading2"/>
      </w:pPr>
      <w:r w:rsidRPr="00670240">
        <w:t xml:space="preserve">Le CESE rappelle </w:t>
      </w:r>
      <w:r w:rsidRPr="00670240" w:rsidR="00097BC6">
        <w:t>qu</w:t>
      </w:r>
      <w:r w:rsidRPr="00670240" w:rsidR="005A3A86">
        <w:t>’</w:t>
      </w:r>
      <w:r w:rsidRPr="00670240" w:rsidR="00097BC6">
        <w:t>en raison de son coût de production et de transport élevé,</w:t>
      </w:r>
      <w:r w:rsidRPr="00670240">
        <w:t xml:space="preserve"> l</w:t>
      </w:r>
      <w:r w:rsidRPr="00670240" w:rsidR="00D706CC">
        <w:t>’</w:t>
      </w:r>
      <w:r w:rsidRPr="00670240">
        <w:t xml:space="preserve">hydrogène propre </w:t>
      </w:r>
      <w:r w:rsidRPr="00670240" w:rsidR="00EB0FC9">
        <w:t>devrai</w:t>
      </w:r>
      <w:r w:rsidRPr="00670240">
        <w:t>t être utilisé dans les seuls cas où d</w:t>
      </w:r>
      <w:r w:rsidRPr="00670240" w:rsidR="005A3A86">
        <w:t>’</w:t>
      </w:r>
      <w:r w:rsidRPr="00670240">
        <w:t xml:space="preserve">autres options existantes de décarbonation ne sont pas possibles, </w:t>
      </w:r>
      <w:r w:rsidRPr="00670240" w:rsidR="00961BCE">
        <w:t>comme</w:t>
      </w:r>
      <w:r w:rsidRPr="00670240" w:rsidR="00097BC6">
        <w:t xml:space="preserve"> dans </w:t>
      </w:r>
      <w:r w:rsidRPr="00670240" w:rsidR="00F37C49">
        <w:t>«</w:t>
      </w:r>
      <w:r w:rsidRPr="00670240" w:rsidR="00097BC6">
        <w:t>les secteurs difficile</w:t>
      </w:r>
      <w:r w:rsidRPr="00670240" w:rsidR="00F37C49">
        <w:t>s</w:t>
      </w:r>
      <w:r w:rsidRPr="00670240" w:rsidR="00097BC6">
        <w:t xml:space="preserve"> </w:t>
      </w:r>
      <w:r w:rsidRPr="00670240" w:rsidR="00F37C49">
        <w:t>à</w:t>
      </w:r>
      <w:r w:rsidRPr="00670240" w:rsidR="00097BC6">
        <w:t xml:space="preserve"> réduire</w:t>
      </w:r>
      <w:r w:rsidRPr="00670240" w:rsidR="00F37C49">
        <w:t>»</w:t>
      </w:r>
      <w:r w:rsidRPr="00670240" w:rsidR="00097BC6">
        <w:rPr>
          <w:rStyle w:val="FootnoteReference"/>
        </w:rPr>
        <w:footnoteReference w:id="2"/>
      </w:r>
      <w:r w:rsidRPr="00670240" w:rsidR="00097BC6">
        <w:t xml:space="preserve"> </w:t>
      </w:r>
      <w:r w:rsidRPr="00670240">
        <w:t>ou certaines applications très spécifiques des secteurs du transport et du bâtiment.</w:t>
      </w:r>
    </w:p>
    <w:p w:rsidRPr="00670240" w:rsidR="0026245C" w:rsidRDefault="0026245C">
      <w:pPr>
        <w:ind w:left="567" w:hanging="567"/>
      </w:pPr>
    </w:p>
    <w:p w:rsidRPr="00670240" w:rsidR="0026245C" w:rsidP="00160404" w:rsidRDefault="0022054D">
      <w:pPr>
        <w:pStyle w:val="Heading2"/>
      </w:pPr>
      <w:r w:rsidRPr="00670240">
        <w:t xml:space="preserve">Le CESE souligne que </w:t>
      </w:r>
      <w:r w:rsidRPr="00670240" w:rsidR="00EB0FC9">
        <w:t>pour pe</w:t>
      </w:r>
      <w:r w:rsidRPr="00670240" w:rsidR="00961BCE">
        <w:t>r</w:t>
      </w:r>
      <w:r w:rsidRPr="00670240" w:rsidR="00EB0FC9">
        <w:t>m</w:t>
      </w:r>
      <w:r w:rsidRPr="00670240" w:rsidR="00961BCE">
        <w:t>e</w:t>
      </w:r>
      <w:r w:rsidRPr="00670240" w:rsidR="00EB0FC9">
        <w:t>ttre l</w:t>
      </w:r>
      <w:r w:rsidRPr="00670240" w:rsidR="00D706CC">
        <w:t>’</w:t>
      </w:r>
      <w:r w:rsidRPr="00670240" w:rsidR="00EB0FC9">
        <w:t>essor de l</w:t>
      </w:r>
      <w:r w:rsidRPr="00670240" w:rsidR="00D706CC">
        <w:t>’</w:t>
      </w:r>
      <w:r w:rsidRPr="00670240" w:rsidR="00961BCE">
        <w:t>h</w:t>
      </w:r>
      <w:r w:rsidRPr="00670240" w:rsidR="00EB0FC9">
        <w:t>yd</w:t>
      </w:r>
      <w:r w:rsidRPr="00670240">
        <w:t>r</w:t>
      </w:r>
      <w:r w:rsidRPr="00670240" w:rsidR="00EB0FC9">
        <w:t>o</w:t>
      </w:r>
      <w:r w:rsidRPr="00670240">
        <w:t>gène propre, les</w:t>
      </w:r>
      <w:r w:rsidRPr="00670240" w:rsidR="0026245C">
        <w:t xml:space="preserve"> </w:t>
      </w:r>
      <w:r w:rsidRPr="00670240" w:rsidR="00EB0FC9">
        <w:t xml:space="preserve">fonds </w:t>
      </w:r>
      <w:r w:rsidRPr="00670240" w:rsidR="0026245C">
        <w:t>européens</w:t>
      </w:r>
      <w:r w:rsidRPr="00670240">
        <w:t xml:space="preserve"> </w:t>
      </w:r>
      <w:r w:rsidRPr="00670240" w:rsidR="0026245C">
        <w:t xml:space="preserve">ne devraient </w:t>
      </w:r>
      <w:r w:rsidRPr="00670240" w:rsidR="00961BCE">
        <w:t xml:space="preserve">pas </w:t>
      </w:r>
      <w:r w:rsidRPr="00670240" w:rsidR="0026245C">
        <w:t xml:space="preserve">subventionner les énergies fossiles et </w:t>
      </w:r>
      <w:r w:rsidRPr="00670240" w:rsidR="00961BCE">
        <w:t xml:space="preserve">il </w:t>
      </w:r>
      <w:r w:rsidRPr="00670240" w:rsidR="0026245C">
        <w:t xml:space="preserve">invite la Commission à appliquer </w:t>
      </w:r>
      <w:r w:rsidRPr="00670240">
        <w:t xml:space="preserve">le principe </w:t>
      </w:r>
      <w:r w:rsidRPr="00670240" w:rsidR="005A3A86">
        <w:t>«</w:t>
      </w:r>
      <w:r w:rsidRPr="00670240" w:rsidR="00961BCE">
        <w:t>Ne pas nuire» («</w:t>
      </w:r>
      <w:r w:rsidRPr="00670240">
        <w:t>Do no harm»</w:t>
      </w:r>
      <w:r w:rsidRPr="00670240" w:rsidR="00961BCE">
        <w:t>)</w:t>
      </w:r>
      <w:r w:rsidRPr="00670240">
        <w:t xml:space="preserve"> </w:t>
      </w:r>
      <w:r w:rsidRPr="00670240" w:rsidR="0026245C">
        <w:t xml:space="preserve">à tous les financements publics au titre du CFP +, </w:t>
      </w:r>
      <w:r w:rsidRPr="00670240" w:rsidR="00961BCE">
        <w:t>d</w:t>
      </w:r>
      <w:r w:rsidRPr="00670240" w:rsidR="00D706CC">
        <w:t>’</w:t>
      </w:r>
      <w:r w:rsidRPr="00670240" w:rsidR="0026245C">
        <w:t>InvestEU, du fonds de relance de l</w:t>
      </w:r>
      <w:r w:rsidRPr="00670240" w:rsidR="00D706CC">
        <w:t>’</w:t>
      </w:r>
      <w:r w:rsidRPr="00670240" w:rsidR="0026245C">
        <w:t>UE et des aides d</w:t>
      </w:r>
      <w:r w:rsidRPr="00670240" w:rsidR="00D706CC">
        <w:t>’</w:t>
      </w:r>
      <w:r w:rsidRPr="00670240" w:rsidR="0026245C">
        <w:t>État.</w:t>
      </w:r>
    </w:p>
    <w:p w:rsidRPr="00670240" w:rsidR="00463071" w:rsidP="00AA2C91" w:rsidRDefault="00463071">
      <w:pPr>
        <w:pStyle w:val="Heading2"/>
        <w:numPr>
          <w:ilvl w:val="0"/>
          <w:numId w:val="0"/>
        </w:numPr>
        <w:ind w:left="567" w:hanging="567"/>
      </w:pPr>
    </w:p>
    <w:p w:rsidRPr="00670240" w:rsidR="0022054D" w:rsidP="00160404" w:rsidRDefault="00463071">
      <w:pPr>
        <w:pStyle w:val="Heading2"/>
      </w:pPr>
      <w:r w:rsidRPr="00670240">
        <w:t>Le CESE souligne qu</w:t>
      </w:r>
      <w:r w:rsidRPr="00670240" w:rsidR="00D706CC">
        <w:t>’</w:t>
      </w:r>
      <w:r w:rsidRPr="00670240">
        <w:t>établir une «économie de l</w:t>
      </w:r>
      <w:r w:rsidRPr="00670240" w:rsidR="00D706CC">
        <w:t>’</w:t>
      </w:r>
      <w:r w:rsidRPr="00670240">
        <w:t>hydrogène» requiert l</w:t>
      </w:r>
      <w:r w:rsidRPr="00670240" w:rsidR="00D25294">
        <w:t>’</w:t>
      </w:r>
      <w:r w:rsidRPr="00670240">
        <w:t>acceptation et la participation des citoyens européens, que ce soit en tant qu</w:t>
      </w:r>
      <w:r w:rsidRPr="00670240" w:rsidR="00D25294">
        <w:t>’</w:t>
      </w:r>
      <w:r w:rsidRPr="00670240">
        <w:t>entrepreneurs, en tant que travailleurs ou en tant que consommateurs.</w:t>
      </w:r>
      <w:r w:rsidRPr="00670240" w:rsidR="00945161">
        <w:t xml:space="preserve"> Le CESE </w:t>
      </w:r>
      <w:r w:rsidRPr="00670240" w:rsidR="00C14D6A">
        <w:t>regr</w:t>
      </w:r>
      <w:r w:rsidRPr="00670240" w:rsidR="00D27DAD">
        <w:t>ette</w:t>
      </w:r>
      <w:r w:rsidRPr="00670240" w:rsidR="00945161">
        <w:t xml:space="preserve"> un manque de réflexion sur la mise en œuvre de la stratégie dans les différents secteurs et demande à ce que les citoyens soient davantage associés à ce processus par le biais d</w:t>
      </w:r>
      <w:r w:rsidRPr="00670240" w:rsidR="00D706CC">
        <w:t>’</w:t>
      </w:r>
      <w:r w:rsidRPr="00670240" w:rsidR="00945161">
        <w:t>une consultation et d</w:t>
      </w:r>
      <w:r w:rsidRPr="00670240" w:rsidR="00D706CC">
        <w:t>’</w:t>
      </w:r>
      <w:r w:rsidRPr="00670240" w:rsidR="00945161">
        <w:t>une participation directes et représentative</w:t>
      </w:r>
      <w:r w:rsidRPr="00670240" w:rsidR="00D27DAD">
        <w:t>s</w:t>
      </w:r>
      <w:r w:rsidRPr="00670240" w:rsidR="00945161">
        <w:t>.</w:t>
      </w:r>
      <w:r w:rsidRPr="00670240" w:rsidR="00097BC6">
        <w:t xml:space="preserve"> Le CESE invite également la </w:t>
      </w:r>
      <w:r w:rsidRPr="00670240" w:rsidR="00961BCE">
        <w:t>C</w:t>
      </w:r>
      <w:r w:rsidRPr="00670240" w:rsidR="00097BC6">
        <w:t>ommission à évaluer l</w:t>
      </w:r>
      <w:r w:rsidRPr="00670240" w:rsidR="00D706CC">
        <w:t>’</w:t>
      </w:r>
      <w:r w:rsidRPr="00670240" w:rsidR="00097BC6">
        <w:t xml:space="preserve">impact du </w:t>
      </w:r>
      <w:r w:rsidRPr="00670240" w:rsidR="00E0553F">
        <w:t>développement</w:t>
      </w:r>
      <w:r w:rsidRPr="00670240" w:rsidR="00097BC6">
        <w:t xml:space="preserve"> de l</w:t>
      </w:r>
      <w:r w:rsidRPr="00670240" w:rsidR="00D706CC">
        <w:t>’</w:t>
      </w:r>
      <w:r w:rsidRPr="00670240" w:rsidR="00097BC6">
        <w:t>hydrogène propre sur le coût de l</w:t>
      </w:r>
      <w:r w:rsidRPr="00670240" w:rsidR="00D25294">
        <w:t>’</w:t>
      </w:r>
      <w:r w:rsidRPr="00670240" w:rsidR="00E0553F">
        <w:t>énergie</w:t>
      </w:r>
      <w:r w:rsidRPr="00670240" w:rsidR="00097BC6">
        <w:t xml:space="preserve"> pour les ménages</w:t>
      </w:r>
      <w:r w:rsidRPr="00670240" w:rsidR="00475D38">
        <w:t>.</w:t>
      </w:r>
    </w:p>
    <w:p w:rsidRPr="00670240" w:rsidR="00635F0D" w:rsidP="00AA2C91" w:rsidRDefault="00635F0D">
      <w:pPr>
        <w:pStyle w:val="Heading3"/>
        <w:numPr>
          <w:ilvl w:val="0"/>
          <w:numId w:val="0"/>
        </w:numPr>
        <w:overflowPunct/>
        <w:adjustRightInd/>
        <w:ind w:left="567" w:hanging="567"/>
        <w:textAlignment w:val="auto"/>
      </w:pPr>
    </w:p>
    <w:p w:rsidRPr="00670240" w:rsidR="007B313F" w:rsidP="00160404" w:rsidRDefault="00463071">
      <w:pPr>
        <w:pStyle w:val="Heading2"/>
        <w:keepNext/>
        <w:keepLines/>
      </w:pPr>
      <w:r w:rsidRPr="00670240">
        <w:t xml:space="preserve">Le CESE </w:t>
      </w:r>
      <w:r w:rsidRPr="00670240" w:rsidR="00635F0D">
        <w:t>rappelle que le succès de la transition énergétique sera mitigé s</w:t>
      </w:r>
      <w:r w:rsidRPr="00670240" w:rsidR="00D706CC">
        <w:t>’</w:t>
      </w:r>
      <w:r w:rsidRPr="00670240" w:rsidR="00635F0D">
        <w:t>il y a des travailleurs «perdants » ou si les plus vulnérables sont laissés à l</w:t>
      </w:r>
      <w:r w:rsidRPr="00670240" w:rsidR="00D706CC">
        <w:t>’</w:t>
      </w:r>
      <w:r w:rsidRPr="00670240" w:rsidR="00635F0D">
        <w:t xml:space="preserve">écart de ses bénéfices. Dans un contexte de chômage </w:t>
      </w:r>
      <w:r w:rsidRPr="00670240" w:rsidR="005B3BF0">
        <w:t>particulièrement élevé</w:t>
      </w:r>
      <w:r w:rsidRPr="00670240" w:rsidR="005B3BF0">
        <w:rPr>
          <w:rStyle w:val="FootnoteReference"/>
        </w:rPr>
        <w:footnoteReference w:id="3"/>
      </w:r>
      <w:r w:rsidRPr="00670240" w:rsidR="00635F0D">
        <w:t>, notamment chez les jeunes, il est indispensable d</w:t>
      </w:r>
      <w:r w:rsidRPr="00670240" w:rsidR="00D706CC">
        <w:t>’</w:t>
      </w:r>
      <w:r w:rsidRPr="00670240" w:rsidR="00635F0D">
        <w:t>exploiter pleinement le potentiel de création d</w:t>
      </w:r>
      <w:r w:rsidRPr="00670240" w:rsidR="00D706CC">
        <w:t>’</w:t>
      </w:r>
      <w:r w:rsidRPr="00670240" w:rsidR="00635F0D">
        <w:t>emplois dans les secteurs en développement, tout comme il est crucial d</w:t>
      </w:r>
      <w:r w:rsidRPr="00670240" w:rsidR="00D706CC">
        <w:t>’</w:t>
      </w:r>
      <w:r w:rsidRPr="00670240" w:rsidR="00635F0D">
        <w:t>éviter que cette transition n</w:t>
      </w:r>
      <w:r w:rsidRPr="00670240" w:rsidR="00D706CC">
        <w:t>’</w:t>
      </w:r>
      <w:r w:rsidRPr="00670240" w:rsidR="00635F0D">
        <w:t>entraîne des régions vers un déclin économique source de chômage structurel</w:t>
      </w:r>
      <w:r w:rsidRPr="00670240" w:rsidR="005B3BF0">
        <w:t>. Le CESE demande donc à la Commission européenne de piloter une analyse permettant d</w:t>
      </w:r>
      <w:r w:rsidRPr="00670240" w:rsidR="00D706CC">
        <w:t>’</w:t>
      </w:r>
      <w:r w:rsidRPr="00670240" w:rsidR="005B3BF0">
        <w:t>identifier les compétences des travailleurs dans les secteurs en déclin qui seraient utiles pour les nouveaux emplois liés à l</w:t>
      </w:r>
      <w:r w:rsidRPr="00670240" w:rsidR="00D706CC">
        <w:t>’</w:t>
      </w:r>
      <w:r w:rsidRPr="00670240" w:rsidR="005B3BF0">
        <w:t>hydrogène.</w:t>
      </w:r>
    </w:p>
    <w:p w:rsidRPr="00670240" w:rsidR="0026245C" w:rsidP="00160404" w:rsidRDefault="0026245C">
      <w:pPr>
        <w:keepNext/>
        <w:keepLines/>
        <w:ind w:left="567" w:hanging="567"/>
      </w:pPr>
    </w:p>
    <w:p w:rsidRPr="00670240" w:rsidR="00463071" w:rsidP="00160404" w:rsidRDefault="00B944D4">
      <w:pPr>
        <w:pStyle w:val="Heading2"/>
      </w:pPr>
      <w:r w:rsidRPr="00670240">
        <w:t>Le CESE souligne le rôle clé de l</w:t>
      </w:r>
      <w:r w:rsidRPr="00670240" w:rsidR="00D706CC">
        <w:t>’</w:t>
      </w:r>
      <w:r w:rsidRPr="00670240">
        <w:t>«Alliance européenne pour l</w:t>
      </w:r>
      <w:r w:rsidRPr="00670240" w:rsidR="00D25294">
        <w:t>’</w:t>
      </w:r>
      <w:r w:rsidRPr="00670240">
        <w:t>hydrogène propre» pour accélérer la transformation des industries européenne</w:t>
      </w:r>
      <w:r w:rsidRPr="00670240" w:rsidR="0036397C">
        <w:t>s</w:t>
      </w:r>
      <w:r w:rsidRPr="00670240">
        <w:rPr>
          <w:rStyle w:val="FootnoteReference"/>
        </w:rPr>
        <w:footnoteReference w:id="4"/>
      </w:r>
      <w:r w:rsidRPr="00670240" w:rsidR="009F4D19">
        <w:t xml:space="preserve"> et </w:t>
      </w:r>
      <w:r w:rsidRPr="00670240" w:rsidR="0036397C">
        <w:t>il</w:t>
      </w:r>
      <w:r w:rsidRPr="00670240" w:rsidR="009F4D19">
        <w:t xml:space="preserve"> demande à y être associé en tant que représentant de la société civile organisée</w:t>
      </w:r>
      <w:r w:rsidRPr="00670240">
        <w:t xml:space="preserve">. Le CESE recommande </w:t>
      </w:r>
      <w:r w:rsidRPr="00670240" w:rsidR="009F4D19">
        <w:t xml:space="preserve">aussi que le Commission fournisse une </w:t>
      </w:r>
      <w:r w:rsidRPr="00670240">
        <w:t xml:space="preserve">description </w:t>
      </w:r>
      <w:r w:rsidRPr="00670240" w:rsidR="009F4D19">
        <w:t>précise</w:t>
      </w:r>
      <w:r w:rsidRPr="00670240">
        <w:t xml:space="preserve"> des délais de transition</w:t>
      </w:r>
      <w:r w:rsidRPr="00670240" w:rsidR="00DB6F67">
        <w:t xml:space="preserve"> pour l</w:t>
      </w:r>
      <w:r w:rsidRPr="00670240" w:rsidR="00D706CC">
        <w:t>’</w:t>
      </w:r>
      <w:r w:rsidRPr="00670240" w:rsidR="00DB6F67">
        <w:t>industrie</w:t>
      </w:r>
      <w:r w:rsidRPr="00670240">
        <w:t>, en fonction des besoins spécifiques de chaque secteur</w:t>
      </w:r>
      <w:r w:rsidRPr="00670240" w:rsidR="009F4D19">
        <w:t>. L</w:t>
      </w:r>
      <w:r w:rsidRPr="00670240" w:rsidR="0036397C">
        <w:t xml:space="preserve">es </w:t>
      </w:r>
      <w:r w:rsidRPr="00670240" w:rsidR="009F4D19">
        <w:t>industrie</w:t>
      </w:r>
      <w:r w:rsidRPr="00670240" w:rsidR="0036397C">
        <w:t>s</w:t>
      </w:r>
      <w:r w:rsidRPr="00670240" w:rsidR="009F4D19">
        <w:t xml:space="preserve"> de l</w:t>
      </w:r>
      <w:r w:rsidRPr="00670240" w:rsidR="00D25294">
        <w:t>’</w:t>
      </w:r>
      <w:r w:rsidRPr="00670240" w:rsidR="009F4D19">
        <w:t xml:space="preserve">acier, du ciment et de la chimie doivent être soutenues pour changer leurs méthodes de production, </w:t>
      </w:r>
      <w:r w:rsidRPr="00670240" w:rsidR="00124E9F">
        <w:t>a</w:t>
      </w:r>
      <w:r w:rsidRPr="00670240" w:rsidR="00C14D6A">
        <w:t>utre</w:t>
      </w:r>
      <w:r w:rsidRPr="00670240" w:rsidR="00DB6F67">
        <w:t>ment, le</w:t>
      </w:r>
      <w:r w:rsidRPr="00670240" w:rsidR="009F4D19">
        <w:t xml:space="preserve"> CESE souligne </w:t>
      </w:r>
      <w:r w:rsidRPr="00670240" w:rsidR="00F152D7">
        <w:t>que c</w:t>
      </w:r>
      <w:r w:rsidRPr="00670240">
        <w:t>es industries qui apportent une contribution majeure à la réduction des émissions de CO</w:t>
      </w:r>
      <w:r w:rsidRPr="00670240">
        <w:rPr>
          <w:vertAlign w:val="subscript"/>
        </w:rPr>
        <w:t>2</w:t>
      </w:r>
      <w:r w:rsidRPr="00670240">
        <w:t xml:space="preserve"> </w:t>
      </w:r>
      <w:r w:rsidRPr="00670240" w:rsidR="00DB6F67">
        <w:t>risquent de ne pas survi</w:t>
      </w:r>
      <w:r w:rsidRPr="00670240" w:rsidR="0036397C">
        <w:t>vre</w:t>
      </w:r>
      <w:r w:rsidRPr="00670240" w:rsidR="00DB6F67">
        <w:t xml:space="preserve"> à cette transformation.</w:t>
      </w:r>
    </w:p>
    <w:p w:rsidRPr="00670240" w:rsidR="00890CDA" w:rsidRDefault="00890CDA">
      <w:pPr>
        <w:ind w:left="567" w:hanging="567"/>
      </w:pPr>
    </w:p>
    <w:p w:rsidRPr="00670240" w:rsidR="00890CDA" w:rsidP="00160404" w:rsidRDefault="00890CDA">
      <w:pPr>
        <w:pStyle w:val="Heading2"/>
      </w:pPr>
      <w:r w:rsidRPr="00670240">
        <w:t xml:space="preserve">Le CESE </w:t>
      </w:r>
      <w:r w:rsidRPr="00670240" w:rsidR="00220D36">
        <w:t xml:space="preserve">se </w:t>
      </w:r>
      <w:r w:rsidRPr="00670240" w:rsidR="00E0553F">
        <w:t>félicite</w:t>
      </w:r>
      <w:r w:rsidRPr="00670240" w:rsidR="00220D36">
        <w:t xml:space="preserve"> de partenariat futurs avec des pays du voisinage. Il </w:t>
      </w:r>
      <w:r w:rsidRPr="00670240" w:rsidR="00475D38">
        <w:t>demande</w:t>
      </w:r>
      <w:r w:rsidRPr="00670240" w:rsidR="00220D36">
        <w:t xml:space="preserve"> cependant</w:t>
      </w:r>
      <w:r w:rsidRPr="00670240" w:rsidR="00475D38">
        <w:t xml:space="preserve"> plus de </w:t>
      </w:r>
      <w:r w:rsidRPr="00670240" w:rsidR="00E0553F">
        <w:t>clarté</w:t>
      </w:r>
      <w:r w:rsidRPr="00670240" w:rsidR="00475D38">
        <w:t xml:space="preserve"> à la Commission européenne</w:t>
      </w:r>
      <w:r w:rsidRPr="00670240">
        <w:t xml:space="preserve"> concernant le </w:t>
      </w:r>
      <w:r w:rsidRPr="00670240" w:rsidR="00E0553F">
        <w:t>déploiement</w:t>
      </w:r>
      <w:r w:rsidRPr="00670240">
        <w:t xml:space="preserve"> de 40 GW d</w:t>
      </w:r>
      <w:r w:rsidRPr="00670240" w:rsidR="00D706CC">
        <w:t>’</w:t>
      </w:r>
      <w:r w:rsidRPr="00670240">
        <w:t>électrolyseurs pour la production d</w:t>
      </w:r>
      <w:r w:rsidRPr="00670240" w:rsidR="00D706CC">
        <w:t>’</w:t>
      </w:r>
      <w:r w:rsidRPr="00670240">
        <w:t>hydrogène renouvelable dans le voisinage de l</w:t>
      </w:r>
      <w:r w:rsidRPr="00670240" w:rsidR="00D706CC">
        <w:t>’</w:t>
      </w:r>
      <w:r w:rsidRPr="00670240">
        <w:t>UE</w:t>
      </w:r>
      <w:r w:rsidRPr="00670240">
        <w:rPr>
          <w:rStyle w:val="FootnoteReference"/>
        </w:rPr>
        <w:footnoteReference w:id="5"/>
      </w:r>
      <w:r w:rsidRPr="00670240">
        <w:t>,</w:t>
      </w:r>
      <w:r w:rsidRPr="00670240" w:rsidR="00475D38">
        <w:t xml:space="preserve"> qui inclue actuellement des pays </w:t>
      </w:r>
      <w:r w:rsidRPr="00670240" w:rsidR="00E0553F">
        <w:t>politiquement</w:t>
      </w:r>
      <w:r w:rsidRPr="00670240" w:rsidR="00475D38">
        <w:t xml:space="preserve"> instables et avec des politiques de transition énergétique et de développement des énergies renouvelables très différentes. Le CESE souligne également que dans sa stratégie cadre pour une union de l</w:t>
      </w:r>
      <w:r w:rsidRPr="00670240" w:rsidR="00D706CC">
        <w:t>’</w:t>
      </w:r>
      <w:r w:rsidRPr="00670240" w:rsidR="00475D38">
        <w:t>énergie résiliente</w:t>
      </w:r>
      <w:r w:rsidRPr="00670240" w:rsidR="00475D38">
        <w:rPr>
          <w:rStyle w:val="FootnoteReference"/>
        </w:rPr>
        <w:footnoteReference w:id="6"/>
      </w:r>
      <w:r w:rsidRPr="00670240" w:rsidR="00475D38">
        <w:t xml:space="preserve">, la Commission se fixe </w:t>
      </w:r>
      <w:r w:rsidRPr="00670240" w:rsidR="00FF7A92">
        <w:t xml:space="preserve">pour objectif </w:t>
      </w:r>
      <w:r w:rsidRPr="00670240" w:rsidR="00475D38">
        <w:t>de</w:t>
      </w:r>
      <w:r w:rsidRPr="00670240">
        <w:t xml:space="preserve"> réduire la dépendance de l</w:t>
      </w:r>
      <w:r w:rsidRPr="00670240" w:rsidR="00D706CC">
        <w:t>’</w:t>
      </w:r>
      <w:r w:rsidRPr="00670240">
        <w:t>UE aux importations d</w:t>
      </w:r>
      <w:r w:rsidRPr="00670240" w:rsidR="00D25294">
        <w:t>’</w:t>
      </w:r>
      <w:r w:rsidRPr="00670240">
        <w:t>énergie</w:t>
      </w:r>
      <w:r w:rsidRPr="00670240">
        <w:rPr>
          <w:rStyle w:val="FootnoteReference"/>
        </w:rPr>
        <w:footnoteReference w:id="7"/>
      </w:r>
      <w:r w:rsidRPr="00670240">
        <w:t>.</w:t>
      </w:r>
    </w:p>
    <w:p w:rsidRPr="00670240" w:rsidR="00890CDA" w:rsidRDefault="00890CDA">
      <w:pPr>
        <w:ind w:left="567" w:hanging="567"/>
      </w:pPr>
    </w:p>
    <w:p w:rsidRPr="00670240" w:rsidR="0026245C" w:rsidP="00160404" w:rsidRDefault="00463071">
      <w:pPr>
        <w:pStyle w:val="Heading2"/>
      </w:pPr>
      <w:r w:rsidRPr="00670240">
        <w:t>Le CESE rappelle d</w:t>
      </w:r>
      <w:r w:rsidRPr="00670240" w:rsidR="00D706CC">
        <w:t>’</w:t>
      </w:r>
      <w:r w:rsidRPr="00670240">
        <w:t>ailleurs que la compétitivité des entreprises européennes se fonde sur leur capacité à innover. La recherche et l</w:t>
      </w:r>
      <w:r w:rsidRPr="00670240" w:rsidR="00D706CC">
        <w:t>’</w:t>
      </w:r>
      <w:r w:rsidRPr="00670240">
        <w:t>innovation jouent aussi un rôle capital s</w:t>
      </w:r>
      <w:r w:rsidRPr="00670240" w:rsidR="00D706CC">
        <w:t>’</w:t>
      </w:r>
      <w:r w:rsidRPr="00670240">
        <w:t xml:space="preserve">agissant de renforcer la résilience de notre société durement frappée par la pandémie de COVID-19. À cette fin, le CESE </w:t>
      </w:r>
      <w:r w:rsidRPr="00670240" w:rsidR="00DB6F67">
        <w:t xml:space="preserve">fait </w:t>
      </w:r>
      <w:r w:rsidRPr="00670240">
        <w:t>valoir la nécessité de prévoir des ressources budgétaires suffisantes</w:t>
      </w:r>
      <w:r w:rsidRPr="00670240" w:rsidR="0022054D">
        <w:t xml:space="preserve"> pour l</w:t>
      </w:r>
      <w:r w:rsidRPr="00670240" w:rsidR="005A3A86">
        <w:t>’</w:t>
      </w:r>
      <w:r w:rsidRPr="00670240" w:rsidR="0022054D">
        <w:t>énergie propre</w:t>
      </w:r>
      <w:r w:rsidRPr="00670240">
        <w:t xml:space="preserve"> dans le cadre du programme Horizon Europe</w:t>
      </w:r>
      <w:r w:rsidRPr="00670240" w:rsidR="0022054D">
        <w:t xml:space="preserve"> et du Conseil européen de l</w:t>
      </w:r>
      <w:r w:rsidRPr="00670240" w:rsidR="005A3A86">
        <w:t>’</w:t>
      </w:r>
      <w:r w:rsidRPr="00670240" w:rsidR="0022054D">
        <w:t>innovation (EIC)</w:t>
      </w:r>
      <w:r w:rsidRPr="00670240" w:rsidR="00541993">
        <w:t>.</w:t>
      </w:r>
    </w:p>
    <w:p w:rsidRPr="00670240" w:rsidR="00146641" w:rsidP="00160404" w:rsidRDefault="00146641">
      <w:pPr>
        <w:pStyle w:val="Heading2"/>
        <w:numPr>
          <w:ilvl w:val="0"/>
          <w:numId w:val="0"/>
        </w:numPr>
        <w:overflowPunct/>
        <w:autoSpaceDE/>
        <w:autoSpaceDN/>
        <w:adjustRightInd/>
        <w:spacing w:before="40"/>
        <w:ind w:left="567" w:hanging="567"/>
        <w:textAlignment w:val="auto"/>
      </w:pPr>
    </w:p>
    <w:p w:rsidRPr="00670240" w:rsidR="00146641" w:rsidP="00160404" w:rsidRDefault="00146641">
      <w:pPr>
        <w:pStyle w:val="Heading1"/>
        <w:keepNext/>
        <w:keepLines/>
        <w:ind w:left="567" w:hanging="567"/>
        <w:rPr>
          <w:b/>
        </w:rPr>
      </w:pPr>
      <w:r w:rsidRPr="00670240">
        <w:rPr>
          <w:b/>
        </w:rPr>
        <w:t>Contenu essentiel de la communication de la Commission européenne</w:t>
      </w:r>
    </w:p>
    <w:p w:rsidRPr="00670240" w:rsidR="00146641" w:rsidP="00160404" w:rsidRDefault="00146641">
      <w:pPr>
        <w:keepNext/>
        <w:keepLines/>
        <w:ind w:left="567" w:hanging="567"/>
      </w:pPr>
    </w:p>
    <w:p w:rsidRPr="00670240" w:rsidR="00146641" w:rsidP="00160404" w:rsidRDefault="00146641">
      <w:pPr>
        <w:pStyle w:val="Heading2"/>
        <w:rPr>
          <w:b/>
        </w:rPr>
      </w:pPr>
      <w:r w:rsidRPr="00670240">
        <w:t>La Commission réaffirme son ambition d</w:t>
      </w:r>
      <w:r w:rsidRPr="00670240" w:rsidR="00D706CC">
        <w:t>’</w:t>
      </w:r>
      <w:r w:rsidRPr="00670240">
        <w:t xml:space="preserve">accélérer la transition vers une économie </w:t>
      </w:r>
      <w:r w:rsidRPr="00670240" w:rsidR="00661927">
        <w:t xml:space="preserve">souveraine, </w:t>
      </w:r>
      <w:r w:rsidRPr="00670240">
        <w:t>compétitive neutre pour le climat, dans un contexte où l</w:t>
      </w:r>
      <w:r w:rsidRPr="00670240" w:rsidR="00D706CC">
        <w:t>’</w:t>
      </w:r>
      <w:r w:rsidRPr="00670240">
        <w:t>économie européenne est durement touchée par la pandémie d</w:t>
      </w:r>
      <w:r w:rsidRPr="00670240" w:rsidR="00772E67">
        <w:t>e la</w:t>
      </w:r>
      <w:r w:rsidRPr="00670240">
        <w:t xml:space="preserve"> C</w:t>
      </w:r>
      <w:r w:rsidRPr="00670240" w:rsidR="00772E67">
        <w:t>OVID-</w:t>
      </w:r>
      <w:r w:rsidRPr="00670240">
        <w:t>19</w:t>
      </w:r>
      <w:r w:rsidRPr="00670240">
        <w:rPr>
          <w:rStyle w:val="FootnoteReference"/>
        </w:rPr>
        <w:footnoteReference w:id="8"/>
      </w:r>
      <w:r w:rsidRPr="00670240">
        <w:t>.</w:t>
      </w:r>
    </w:p>
    <w:p w:rsidRPr="00670240" w:rsidR="00146641" w:rsidRDefault="00146641">
      <w:pPr>
        <w:ind w:left="567" w:hanging="567"/>
      </w:pPr>
    </w:p>
    <w:p w:rsidRPr="00670240" w:rsidR="0026245C" w:rsidP="00160404" w:rsidRDefault="00146641">
      <w:pPr>
        <w:pStyle w:val="Heading2"/>
      </w:pPr>
      <w:r w:rsidRPr="00670240">
        <w:t xml:space="preserve">La </w:t>
      </w:r>
      <w:r w:rsidRPr="00670240" w:rsidR="00772E67">
        <w:t>C</w:t>
      </w:r>
      <w:r w:rsidRPr="00670240">
        <w:t>ommission européenne souligne le rôle clé de l</w:t>
      </w:r>
      <w:r w:rsidRPr="00670240" w:rsidR="00D706CC">
        <w:t>’</w:t>
      </w:r>
      <w:r w:rsidRPr="00670240">
        <w:t xml:space="preserve">hydrogène </w:t>
      </w:r>
      <w:r w:rsidRPr="00670240" w:rsidR="00EB0FC9">
        <w:t xml:space="preserve">propre </w:t>
      </w:r>
      <w:r w:rsidRPr="00670240">
        <w:t xml:space="preserve">pour créer un système énergétique </w:t>
      </w:r>
      <w:r w:rsidRPr="00670240" w:rsidR="00661927">
        <w:t>souverain</w:t>
      </w:r>
      <w:r w:rsidRPr="00670240">
        <w:t xml:space="preserve"> plus intelligent, plus intégré et optimisé, dans lequel tous les secteurs peuvent pleinement contribuer à la décarbonation. L</w:t>
      </w:r>
      <w:r w:rsidRPr="00670240" w:rsidR="00D706CC">
        <w:t>’</w:t>
      </w:r>
      <w:r w:rsidRPr="00670240">
        <w:t>hydrogène propre et sa chaîne de valeur peuvent jouer un rôle important pour compenser les variations des flux d</w:t>
      </w:r>
      <w:r w:rsidRPr="00670240" w:rsidR="00D706CC">
        <w:t>’</w:t>
      </w:r>
      <w:r w:rsidRPr="00670240">
        <w:t>énergies renouvelables et alimenter des secteurs qui ne se prêtent pas à l</w:t>
      </w:r>
      <w:r w:rsidRPr="00670240" w:rsidR="00D706CC">
        <w:t>’</w:t>
      </w:r>
      <w:r w:rsidRPr="00670240">
        <w:t>électrification. Pour concrétiser ce potentiel, l</w:t>
      </w:r>
      <w:r w:rsidRPr="00670240" w:rsidR="00D706CC">
        <w:t>’</w:t>
      </w:r>
      <w:r w:rsidRPr="00670240">
        <w:t>Europe doit établir un</w:t>
      </w:r>
      <w:r w:rsidRPr="00670240" w:rsidR="00F838EE">
        <w:t xml:space="preserve">e économie </w:t>
      </w:r>
      <w:r w:rsidRPr="00670240" w:rsidR="0022054D">
        <w:t>de l</w:t>
      </w:r>
      <w:r w:rsidRPr="00670240" w:rsidR="00D25294">
        <w:t>’</w:t>
      </w:r>
      <w:r w:rsidRPr="00670240" w:rsidR="00E0553F">
        <w:t>hydrogène</w:t>
      </w:r>
      <w:r w:rsidRPr="00670240" w:rsidR="0022054D">
        <w:t>.</w:t>
      </w:r>
    </w:p>
    <w:p w:rsidRPr="00670240" w:rsidR="00146641" w:rsidP="00AA2C91" w:rsidRDefault="00146641">
      <w:pPr>
        <w:pStyle w:val="Heading2"/>
        <w:keepNext/>
        <w:keepLines/>
        <w:numPr>
          <w:ilvl w:val="0"/>
          <w:numId w:val="0"/>
        </w:numPr>
        <w:overflowPunct/>
        <w:autoSpaceDE/>
        <w:autoSpaceDN/>
        <w:adjustRightInd/>
        <w:spacing w:before="40"/>
        <w:ind w:left="567" w:hanging="567"/>
        <w:textAlignment w:val="auto"/>
      </w:pPr>
    </w:p>
    <w:p w:rsidRPr="00670240" w:rsidR="00146641" w:rsidP="00160404" w:rsidRDefault="00146641">
      <w:pPr>
        <w:pStyle w:val="Heading2"/>
        <w:rPr>
          <w:b/>
        </w:rPr>
      </w:pPr>
      <w:r w:rsidRPr="00670240">
        <w:t xml:space="preserve">À cette fin, la Commission présente une stratégie en trois phases </w:t>
      </w:r>
      <w:r w:rsidRPr="00670240" w:rsidR="00772E67">
        <w:t>d</w:t>
      </w:r>
      <w:r w:rsidRPr="00670240" w:rsidR="00D706CC">
        <w:t>’</w:t>
      </w:r>
      <w:r w:rsidRPr="00670240" w:rsidR="00772E67">
        <w:t>ici</w:t>
      </w:r>
      <w:r w:rsidRPr="00670240" w:rsidR="00EC07CC">
        <w:t> </w:t>
      </w:r>
      <w:r w:rsidRPr="00670240">
        <w:t>2050:</w:t>
      </w:r>
    </w:p>
    <w:p w:rsidRPr="00670240" w:rsidR="00146641" w:rsidRDefault="00146641">
      <w:pPr>
        <w:pStyle w:val="Heading2"/>
        <w:numPr>
          <w:ilvl w:val="0"/>
          <w:numId w:val="3"/>
        </w:numPr>
        <w:overflowPunct/>
        <w:autoSpaceDE/>
        <w:autoSpaceDN/>
        <w:adjustRightInd/>
        <w:ind w:left="851" w:hanging="284"/>
        <w:textAlignment w:val="auto"/>
        <w:rPr>
          <w:b/>
        </w:rPr>
      </w:pPr>
      <w:r w:rsidRPr="00670240">
        <w:t>2020-2024: 6</w:t>
      </w:r>
      <w:r w:rsidRPr="00670240" w:rsidR="00715647">
        <w:t> </w:t>
      </w:r>
      <w:r w:rsidRPr="00670240">
        <w:t>GW d</w:t>
      </w:r>
      <w:r w:rsidRPr="00670240" w:rsidR="00D706CC">
        <w:t>’</w:t>
      </w:r>
      <w:r w:rsidRPr="00670240">
        <w:t>électrolyseurs pour la production d</w:t>
      </w:r>
      <w:r w:rsidRPr="00670240" w:rsidR="00D706CC">
        <w:t>’</w:t>
      </w:r>
      <w:r w:rsidRPr="00670240">
        <w:t>hydrogène renouvelable pour décarboner la production d</w:t>
      </w:r>
      <w:r w:rsidRPr="00670240" w:rsidR="00D706CC">
        <w:t>’</w:t>
      </w:r>
      <w:r w:rsidRPr="00670240">
        <w:t>hydrogène existante,</w:t>
      </w:r>
    </w:p>
    <w:p w:rsidRPr="00670240" w:rsidR="00146641" w:rsidRDefault="00146641">
      <w:pPr>
        <w:pStyle w:val="Heading2"/>
        <w:numPr>
          <w:ilvl w:val="0"/>
          <w:numId w:val="3"/>
        </w:numPr>
        <w:overflowPunct/>
        <w:autoSpaceDE/>
        <w:autoSpaceDN/>
        <w:adjustRightInd/>
        <w:ind w:left="851" w:hanging="284"/>
        <w:textAlignment w:val="auto"/>
        <w:rPr>
          <w:b/>
        </w:rPr>
      </w:pPr>
      <w:r w:rsidRPr="00670240">
        <w:t>2025-2030: 40</w:t>
      </w:r>
      <w:r w:rsidRPr="00670240" w:rsidR="00715647">
        <w:t> </w:t>
      </w:r>
      <w:r w:rsidRPr="00670240">
        <w:t>GW dans l</w:t>
      </w:r>
      <w:r w:rsidRPr="00670240" w:rsidR="00D706CC">
        <w:t>’</w:t>
      </w:r>
      <w:r w:rsidRPr="00670240">
        <w:t>UE et 40</w:t>
      </w:r>
      <w:r w:rsidRPr="00670240" w:rsidR="00715647">
        <w:t> </w:t>
      </w:r>
      <w:r w:rsidRPr="00670240">
        <w:t>GW dans le voisinage de l</w:t>
      </w:r>
      <w:r w:rsidRPr="00670240" w:rsidR="00D706CC">
        <w:t>’</w:t>
      </w:r>
      <w:r w:rsidRPr="00670240">
        <w:t>Europe avec des exportations vers l</w:t>
      </w:r>
      <w:r w:rsidRPr="00670240" w:rsidR="00D706CC">
        <w:t>’</w:t>
      </w:r>
      <w:r w:rsidRPr="00670240">
        <w:t xml:space="preserve">UE pour décarboner de nouvelles applications, comme la sidérurgie et certains modes de transport, </w:t>
      </w:r>
    </w:p>
    <w:p w:rsidRPr="00670240" w:rsidR="00146641" w:rsidRDefault="00146641">
      <w:pPr>
        <w:pStyle w:val="Heading2"/>
        <w:numPr>
          <w:ilvl w:val="0"/>
          <w:numId w:val="3"/>
        </w:numPr>
        <w:overflowPunct/>
        <w:autoSpaceDE/>
        <w:autoSpaceDN/>
        <w:adjustRightInd/>
        <w:ind w:left="851" w:hanging="284"/>
        <w:textAlignment w:val="auto"/>
        <w:rPr>
          <w:b/>
        </w:rPr>
      </w:pPr>
      <w:r w:rsidRPr="00670240">
        <w:t xml:space="preserve">2030-2050: </w:t>
      </w:r>
      <w:r w:rsidRPr="00670240" w:rsidR="00772E67">
        <w:t>m</w:t>
      </w:r>
      <w:r w:rsidRPr="00670240">
        <w:t>ontée en gamme massive des capacités installées pour décarboner grâce à l</w:t>
      </w:r>
      <w:r w:rsidRPr="00670240" w:rsidR="00D706CC">
        <w:t>’</w:t>
      </w:r>
      <w:r w:rsidRPr="00670240">
        <w:t>hydrogène tous les secteurs qualifiés de «difficiles à réduire»</w:t>
      </w:r>
      <w:r w:rsidRPr="00670240">
        <w:rPr>
          <w:rStyle w:val="FootnoteReference"/>
        </w:rPr>
        <w:footnoteReference w:id="9"/>
      </w:r>
      <w:r w:rsidRPr="00670240">
        <w:t>.</w:t>
      </w:r>
    </w:p>
    <w:p w:rsidRPr="00670240" w:rsidR="00146641" w:rsidRDefault="00146641">
      <w:pPr>
        <w:pStyle w:val="Heading2"/>
        <w:numPr>
          <w:ilvl w:val="0"/>
          <w:numId w:val="0"/>
        </w:numPr>
        <w:ind w:left="567" w:hanging="567"/>
      </w:pPr>
    </w:p>
    <w:p w:rsidRPr="00670240" w:rsidR="00146641" w:rsidP="00160404" w:rsidRDefault="00146641">
      <w:pPr>
        <w:pStyle w:val="Heading2"/>
        <w:rPr>
          <w:b/>
        </w:rPr>
      </w:pPr>
      <w:r w:rsidRPr="00670240">
        <w:t>La Commission se penche sur cinq dimensions clés dans sa stratégie pour rendre l</w:t>
      </w:r>
      <w:r w:rsidRPr="00670240" w:rsidR="00D706CC">
        <w:t>’</w:t>
      </w:r>
      <w:r w:rsidRPr="00670240">
        <w:t>hydrogène renouvelable compétitif dans l</w:t>
      </w:r>
      <w:r w:rsidRPr="00670240" w:rsidR="00D706CC">
        <w:t>’</w:t>
      </w:r>
      <w:r w:rsidRPr="00670240">
        <w:t>UE:</w:t>
      </w:r>
    </w:p>
    <w:p w:rsidRPr="00670240" w:rsidR="00146641" w:rsidRDefault="00772E67">
      <w:pPr>
        <w:pStyle w:val="Heading2"/>
        <w:numPr>
          <w:ilvl w:val="0"/>
          <w:numId w:val="4"/>
        </w:numPr>
        <w:overflowPunct/>
        <w:autoSpaceDE/>
        <w:autoSpaceDN/>
        <w:adjustRightInd/>
        <w:ind w:left="851" w:hanging="284"/>
        <w:textAlignment w:val="auto"/>
        <w:rPr>
          <w:b/>
        </w:rPr>
      </w:pPr>
      <w:r w:rsidRPr="00670240">
        <w:t>l</w:t>
      </w:r>
      <w:r w:rsidRPr="00670240" w:rsidR="00146641">
        <w:t>es investissements dans l</w:t>
      </w:r>
      <w:r w:rsidRPr="00670240" w:rsidR="00D706CC">
        <w:t>’</w:t>
      </w:r>
      <w:r w:rsidRPr="00670240" w:rsidR="00146641">
        <w:t>UE</w:t>
      </w:r>
      <w:r w:rsidRPr="00670240">
        <w:t>,</w:t>
      </w:r>
    </w:p>
    <w:p w:rsidRPr="00670240" w:rsidR="00146641" w:rsidRDefault="00772E67">
      <w:pPr>
        <w:pStyle w:val="Heading2"/>
        <w:numPr>
          <w:ilvl w:val="0"/>
          <w:numId w:val="4"/>
        </w:numPr>
        <w:overflowPunct/>
        <w:autoSpaceDE/>
        <w:autoSpaceDN/>
        <w:adjustRightInd/>
        <w:ind w:left="851" w:hanging="284"/>
        <w:textAlignment w:val="auto"/>
        <w:rPr>
          <w:b/>
        </w:rPr>
      </w:pPr>
      <w:r w:rsidRPr="00670240">
        <w:t>s</w:t>
      </w:r>
      <w:r w:rsidRPr="00670240" w:rsidR="00146641">
        <w:t>timuler la demande et augmenter la production</w:t>
      </w:r>
      <w:r w:rsidRPr="00670240">
        <w:t>,</w:t>
      </w:r>
    </w:p>
    <w:p w:rsidRPr="00670240" w:rsidR="00146641" w:rsidRDefault="00772E67">
      <w:pPr>
        <w:pStyle w:val="Heading2"/>
        <w:numPr>
          <w:ilvl w:val="0"/>
          <w:numId w:val="4"/>
        </w:numPr>
        <w:overflowPunct/>
        <w:autoSpaceDE/>
        <w:autoSpaceDN/>
        <w:adjustRightInd/>
        <w:ind w:left="851" w:hanging="284"/>
        <w:textAlignment w:val="auto"/>
        <w:rPr>
          <w:b/>
        </w:rPr>
      </w:pPr>
      <w:r w:rsidRPr="00670240">
        <w:t>c</w:t>
      </w:r>
      <w:r w:rsidRPr="00670240" w:rsidR="00146641">
        <w:t>oncevoir les bonnes infrastructures et les règles du marché</w:t>
      </w:r>
      <w:r w:rsidRPr="00670240">
        <w:t>,</w:t>
      </w:r>
    </w:p>
    <w:p w:rsidRPr="00670240" w:rsidR="00146641" w:rsidRDefault="00772E67">
      <w:pPr>
        <w:pStyle w:val="Heading2"/>
        <w:numPr>
          <w:ilvl w:val="0"/>
          <w:numId w:val="4"/>
        </w:numPr>
        <w:overflowPunct/>
        <w:autoSpaceDE/>
        <w:autoSpaceDN/>
        <w:adjustRightInd/>
        <w:ind w:left="851" w:hanging="284"/>
        <w:textAlignment w:val="auto"/>
        <w:rPr>
          <w:b/>
        </w:rPr>
      </w:pPr>
      <w:r w:rsidRPr="00670240">
        <w:t>s</w:t>
      </w:r>
      <w:r w:rsidRPr="00670240" w:rsidR="00146641">
        <w:t>outenir la recherche et l</w:t>
      </w:r>
      <w:r w:rsidRPr="00670240" w:rsidR="00D706CC">
        <w:t>’</w:t>
      </w:r>
      <w:r w:rsidRPr="00670240" w:rsidR="00146641">
        <w:t>innovation (R&amp;I)</w:t>
      </w:r>
      <w:r w:rsidRPr="00670240">
        <w:t>,</w:t>
      </w:r>
    </w:p>
    <w:p w:rsidRPr="00670240" w:rsidR="00146641" w:rsidRDefault="00772E67">
      <w:pPr>
        <w:pStyle w:val="Heading2"/>
        <w:numPr>
          <w:ilvl w:val="0"/>
          <w:numId w:val="4"/>
        </w:numPr>
        <w:overflowPunct/>
        <w:autoSpaceDE/>
        <w:autoSpaceDN/>
        <w:adjustRightInd/>
        <w:ind w:left="851" w:hanging="284"/>
        <w:textAlignment w:val="auto"/>
        <w:rPr>
          <w:b/>
        </w:rPr>
      </w:pPr>
      <w:r w:rsidRPr="00670240">
        <w:t>l</w:t>
      </w:r>
      <w:r w:rsidRPr="00670240" w:rsidR="00146641">
        <w:t>a dimension internationale</w:t>
      </w:r>
      <w:r w:rsidRPr="00670240">
        <w:t>.</w:t>
      </w:r>
    </w:p>
    <w:p w:rsidRPr="00670240" w:rsidR="00146641" w:rsidRDefault="00146641">
      <w:pPr>
        <w:ind w:left="567" w:hanging="567"/>
      </w:pPr>
    </w:p>
    <w:p w:rsidRPr="00670240" w:rsidR="00146641" w:rsidP="00160404" w:rsidRDefault="00146641">
      <w:pPr>
        <w:pStyle w:val="Heading2"/>
        <w:rPr>
          <w:b/>
        </w:rPr>
      </w:pPr>
      <w:r w:rsidRPr="00670240">
        <w:t>Afin d</w:t>
      </w:r>
      <w:r w:rsidRPr="00670240" w:rsidR="00D706CC">
        <w:t>’</w:t>
      </w:r>
      <w:r w:rsidRPr="00670240">
        <w:t>établir cet écosystème, la Commission estime qu</w:t>
      </w:r>
      <w:r w:rsidRPr="00670240" w:rsidR="00D706CC">
        <w:t>’</w:t>
      </w:r>
      <w:r w:rsidRPr="00670240">
        <w:t>environ 320</w:t>
      </w:r>
      <w:r w:rsidRPr="00670240" w:rsidR="00715647">
        <w:t> </w:t>
      </w:r>
      <w:r w:rsidRPr="00670240">
        <w:t>à 458</w:t>
      </w:r>
      <w:r w:rsidRPr="00670240" w:rsidR="00715647">
        <w:t> </w:t>
      </w:r>
      <w:r w:rsidRPr="00670240">
        <w:t>milliards d</w:t>
      </w:r>
      <w:r w:rsidRPr="00670240" w:rsidR="00D706CC">
        <w:t>’</w:t>
      </w:r>
      <w:r w:rsidRPr="00670240">
        <w:t>euros d</w:t>
      </w:r>
      <w:r w:rsidRPr="00670240" w:rsidR="00D706CC">
        <w:t>’</w:t>
      </w:r>
      <w:r w:rsidRPr="00670240">
        <w:t>investissements sur la décennie en cours seraient nécessaires pour atteindre les objectifs 2030</w:t>
      </w:r>
      <w:r w:rsidRPr="00670240" w:rsidR="00715647">
        <w:t> </w:t>
      </w:r>
      <w:r w:rsidRPr="00670240">
        <w:t>de la stratégie hydrogène: 24</w:t>
      </w:r>
      <w:r w:rsidRPr="00670240" w:rsidR="00715647">
        <w:t> </w:t>
      </w:r>
      <w:r w:rsidRPr="00670240">
        <w:t>à 42</w:t>
      </w:r>
      <w:r w:rsidRPr="00670240" w:rsidR="00715647">
        <w:t> </w:t>
      </w:r>
      <w:r w:rsidRPr="00670240">
        <w:t>milliards d</w:t>
      </w:r>
      <w:r w:rsidRPr="00670240" w:rsidR="00D706CC">
        <w:t>’</w:t>
      </w:r>
      <w:r w:rsidRPr="00670240">
        <w:t>euros pour les électrolyseurs, 220</w:t>
      </w:r>
      <w:r w:rsidRPr="00670240" w:rsidR="00715647">
        <w:t> </w:t>
      </w:r>
      <w:r w:rsidRPr="00670240">
        <w:t>à 340</w:t>
      </w:r>
      <w:r w:rsidRPr="00670240" w:rsidR="00715647">
        <w:t> </w:t>
      </w:r>
      <w:r w:rsidRPr="00670240">
        <w:t>milliards d</w:t>
      </w:r>
      <w:r w:rsidRPr="00670240" w:rsidR="00D706CC">
        <w:t>’</w:t>
      </w:r>
      <w:r w:rsidRPr="00670240">
        <w:t>euros pour augmenter la production d</w:t>
      </w:r>
      <w:r w:rsidRPr="00670240" w:rsidR="00D706CC">
        <w:t>’</w:t>
      </w:r>
      <w:r w:rsidRPr="00670240">
        <w:t>énergie solaire et éolienne (80</w:t>
      </w:r>
      <w:r w:rsidRPr="00670240" w:rsidR="00715647">
        <w:t> </w:t>
      </w:r>
      <w:r w:rsidRPr="00670240">
        <w:t>à 120</w:t>
      </w:r>
      <w:r w:rsidRPr="00670240" w:rsidR="00715647">
        <w:t> </w:t>
      </w:r>
      <w:r w:rsidRPr="00670240">
        <w:t>GW), environ 11</w:t>
      </w:r>
      <w:r w:rsidRPr="00670240" w:rsidR="00715647">
        <w:t> </w:t>
      </w:r>
      <w:r w:rsidRPr="00670240">
        <w:t>milliards d</w:t>
      </w:r>
      <w:r w:rsidRPr="00670240" w:rsidR="00D706CC">
        <w:t>’</w:t>
      </w:r>
      <w:r w:rsidRPr="00670240">
        <w:t>euros pour la modernisation d</w:t>
      </w:r>
      <w:r w:rsidRPr="00670240" w:rsidR="00D706CC">
        <w:t>’</w:t>
      </w:r>
      <w:r w:rsidRPr="00670240">
        <w:t>usines existantes en CSC et 65</w:t>
      </w:r>
      <w:r w:rsidRPr="00670240" w:rsidR="00715647">
        <w:t> </w:t>
      </w:r>
      <w:r w:rsidRPr="00670240">
        <w:t>milliards d</w:t>
      </w:r>
      <w:r w:rsidRPr="00670240" w:rsidR="00D706CC">
        <w:t>’</w:t>
      </w:r>
      <w:r w:rsidRPr="00670240">
        <w:t>euros pour les stations de transport, de distribution, de stockage et de ravitaillement d</w:t>
      </w:r>
      <w:r w:rsidRPr="00670240" w:rsidR="00D706CC">
        <w:t>’</w:t>
      </w:r>
      <w:r w:rsidRPr="00670240">
        <w:t>hydrogène. D</w:t>
      </w:r>
      <w:r w:rsidRPr="00670240" w:rsidR="00D706CC">
        <w:t>’</w:t>
      </w:r>
      <w:r w:rsidRPr="00670240">
        <w:t>ici 2050, 180</w:t>
      </w:r>
      <w:r w:rsidRPr="00670240" w:rsidR="00715647">
        <w:t> </w:t>
      </w:r>
      <w:r w:rsidRPr="00670240">
        <w:t>à 470</w:t>
      </w:r>
      <w:r w:rsidRPr="00670240" w:rsidR="00715647">
        <w:t> </w:t>
      </w:r>
      <w:r w:rsidRPr="00670240">
        <w:t>milliards d</w:t>
      </w:r>
      <w:r w:rsidRPr="00670240" w:rsidR="00D706CC">
        <w:t>’</w:t>
      </w:r>
      <w:r w:rsidRPr="00670240">
        <w:t>euros seraient nécessaires pour les capacités de production uniquement. En outre, des investissements seront également nécessaires pour adapter les secteurs d</w:t>
      </w:r>
      <w:r w:rsidRPr="00670240" w:rsidR="00D706CC">
        <w:t>’</w:t>
      </w:r>
      <w:r w:rsidRPr="00670240">
        <w:t>utilisation finale, tels que 160</w:t>
      </w:r>
      <w:r w:rsidRPr="00670240" w:rsidR="00210360">
        <w:t> </w:t>
      </w:r>
      <w:r w:rsidRPr="00670240">
        <w:t>à 200</w:t>
      </w:r>
      <w:r w:rsidRPr="00670240" w:rsidR="00210360">
        <w:t> </w:t>
      </w:r>
      <w:r w:rsidRPr="00670240">
        <w:t>millions d</w:t>
      </w:r>
      <w:r w:rsidRPr="00670240" w:rsidR="00D706CC">
        <w:t>’</w:t>
      </w:r>
      <w:r w:rsidRPr="00670240">
        <w:t>euros pour convertir une installation sidérurgique typique de l</w:t>
      </w:r>
      <w:r w:rsidRPr="00670240" w:rsidR="00D706CC">
        <w:t>’</w:t>
      </w:r>
      <w:r w:rsidRPr="00670240">
        <w:t>UE et 850</w:t>
      </w:r>
      <w:r w:rsidRPr="00670240" w:rsidR="00210360">
        <w:t> </w:t>
      </w:r>
      <w:r w:rsidRPr="00670240">
        <w:t>millions à 1</w:t>
      </w:r>
      <w:r w:rsidRPr="00670240" w:rsidR="00210360">
        <w:t> </w:t>
      </w:r>
      <w:r w:rsidRPr="00670240">
        <w:t>milliard d</w:t>
      </w:r>
      <w:r w:rsidRPr="00670240" w:rsidR="00D706CC">
        <w:t>’</w:t>
      </w:r>
      <w:r w:rsidRPr="00670240">
        <w:t>euros pour déployer 400</w:t>
      </w:r>
      <w:r w:rsidRPr="00670240" w:rsidR="00210360">
        <w:t> </w:t>
      </w:r>
      <w:r w:rsidRPr="00670240">
        <w:t xml:space="preserve">petites stations de ravitaillement en hydrogène. </w:t>
      </w:r>
    </w:p>
    <w:p w:rsidRPr="00670240" w:rsidR="00146641" w:rsidRDefault="00146641">
      <w:pPr>
        <w:pStyle w:val="Heading2"/>
        <w:numPr>
          <w:ilvl w:val="0"/>
          <w:numId w:val="0"/>
        </w:numPr>
        <w:ind w:left="567" w:hanging="567"/>
        <w:rPr>
          <w:b/>
        </w:rPr>
      </w:pPr>
    </w:p>
    <w:p w:rsidRPr="00670240" w:rsidR="00146641" w:rsidP="00160404" w:rsidRDefault="00146641">
      <w:pPr>
        <w:pStyle w:val="Heading2"/>
        <w:rPr>
          <w:b/>
        </w:rPr>
      </w:pPr>
      <w:r w:rsidRPr="00670240">
        <w:t>Dans ce cadre, les principaux leviers stratégiques que l</w:t>
      </w:r>
      <w:r w:rsidRPr="00670240" w:rsidR="00D706CC">
        <w:t>’</w:t>
      </w:r>
      <w:r w:rsidRPr="00670240">
        <w:t>UE peut déployer pour stimuler l</w:t>
      </w:r>
      <w:r w:rsidRPr="00670240" w:rsidR="00D706CC">
        <w:t>’</w:t>
      </w:r>
      <w:r w:rsidRPr="00670240">
        <w:t>investissement privé dans l</w:t>
      </w:r>
      <w:r w:rsidRPr="00670240" w:rsidR="00D706CC">
        <w:t>’</w:t>
      </w:r>
      <w:r w:rsidRPr="00670240">
        <w:t xml:space="preserve">hydrogène </w:t>
      </w:r>
      <w:r w:rsidRPr="00670240" w:rsidR="00661927">
        <w:t xml:space="preserve">propre </w:t>
      </w:r>
      <w:r w:rsidRPr="00670240">
        <w:t>sont les suivants:</w:t>
      </w:r>
    </w:p>
    <w:p w:rsidRPr="00670240" w:rsidR="00146641" w:rsidRDefault="00146641">
      <w:pPr>
        <w:ind w:left="567" w:hanging="567"/>
      </w:pPr>
    </w:p>
    <w:p w:rsidRPr="00670240" w:rsidR="00146641" w:rsidP="00160404" w:rsidRDefault="00146641">
      <w:pPr>
        <w:pStyle w:val="Heading3"/>
        <w:rPr>
          <w:b/>
        </w:rPr>
      </w:pPr>
      <w:r w:rsidRPr="00670240">
        <w:t>Développer les applications de l</w:t>
      </w:r>
      <w:r w:rsidRPr="00670240" w:rsidR="00D706CC">
        <w:t>’</w:t>
      </w:r>
      <w:r w:rsidRPr="00670240">
        <w:t xml:space="preserve">hydrogène </w:t>
      </w:r>
      <w:r w:rsidRPr="00670240" w:rsidR="00661927">
        <w:t>propre</w:t>
      </w:r>
      <w:r w:rsidRPr="00670240">
        <w:t xml:space="preserve"> dans l</w:t>
      </w:r>
      <w:r w:rsidRPr="00670240" w:rsidR="00D706CC">
        <w:t>’</w:t>
      </w:r>
      <w:r w:rsidRPr="00670240">
        <w:t>industrie et la mobilité permettra de stimuler la demande. La stratégie propose pour cela de procéder en deux phases distinctes: tout d</w:t>
      </w:r>
      <w:r w:rsidRPr="00670240" w:rsidR="00D706CC">
        <w:t>’</w:t>
      </w:r>
      <w:r w:rsidRPr="00670240">
        <w:t>abord l</w:t>
      </w:r>
      <w:r w:rsidRPr="00670240" w:rsidR="00D706CC">
        <w:t>’</w:t>
      </w:r>
      <w:r w:rsidRPr="00670240">
        <w:t>hydrogène sera utilisé pour décarboner la production d</w:t>
      </w:r>
      <w:r w:rsidRPr="00670240" w:rsidR="00D706CC">
        <w:t>’</w:t>
      </w:r>
      <w:r w:rsidRPr="00670240">
        <w:t>acier et pourrait se développer dans des usages captifs, tels que les bus urbains ou certains trains lorsque l</w:t>
      </w:r>
      <w:r w:rsidRPr="00670240" w:rsidR="00D706CC">
        <w:t>’</w:t>
      </w:r>
      <w:r w:rsidRPr="00670240">
        <w:t>électrification n</w:t>
      </w:r>
      <w:r w:rsidRPr="00670240" w:rsidR="00D706CC">
        <w:t>’</w:t>
      </w:r>
      <w:r w:rsidRPr="00670240">
        <w:t>est pas compétitive en termes de coûts, ainsi que pour les véhicules routiers lourds parallèlement à l</w:t>
      </w:r>
      <w:r w:rsidRPr="00670240" w:rsidR="00D706CC">
        <w:t>’</w:t>
      </w:r>
      <w:r w:rsidRPr="00670240">
        <w:t xml:space="preserve">électrification. La stratégie à venir sur le développement durable et </w:t>
      </w:r>
      <w:r w:rsidRPr="00670240">
        <w:rPr>
          <w:i/>
        </w:rPr>
        <w:t>Smart Mobility</w:t>
      </w:r>
      <w:r w:rsidRPr="00670240">
        <w:t>, qui sera publiée d</w:t>
      </w:r>
      <w:r w:rsidRPr="00670240" w:rsidR="00D706CC">
        <w:t>’</w:t>
      </w:r>
      <w:r w:rsidRPr="00670240">
        <w:t>ici la fin de l</w:t>
      </w:r>
      <w:r w:rsidRPr="00670240" w:rsidR="00D706CC">
        <w:t>’</w:t>
      </w:r>
      <w:r w:rsidRPr="00670240">
        <w:t>année, devrait aborder le rôle de l</w:t>
      </w:r>
      <w:r w:rsidRPr="00670240" w:rsidR="00D706CC">
        <w:t>’</w:t>
      </w:r>
      <w:r w:rsidRPr="00670240">
        <w:t>hydrogène dans les transports. Dans cette perspective, des politiques de soutien de la demande seront envisagées, qui pourraient prendre la forme de quotas d</w:t>
      </w:r>
      <w:r w:rsidRPr="00670240" w:rsidR="00D706CC">
        <w:t>’</w:t>
      </w:r>
      <w:r w:rsidRPr="00670240">
        <w:t>hydrogène renouvelable ou de parts minimales dans des secteurs d</w:t>
      </w:r>
      <w:r w:rsidRPr="00670240" w:rsidR="00D706CC">
        <w:t>’</w:t>
      </w:r>
      <w:r w:rsidRPr="00670240">
        <w:t>utilisation finale spécifiques (tels que les applications chimiques ou de transport).</w:t>
      </w:r>
    </w:p>
    <w:p w:rsidRPr="00670240" w:rsidR="00146641" w:rsidRDefault="00146641">
      <w:pPr>
        <w:ind w:left="567" w:hanging="567"/>
      </w:pPr>
    </w:p>
    <w:p w:rsidRPr="00670240" w:rsidR="00146641" w:rsidP="00160404" w:rsidRDefault="00146641">
      <w:pPr>
        <w:pStyle w:val="Heading3"/>
        <w:rPr>
          <w:b/>
        </w:rPr>
      </w:pPr>
      <w:r w:rsidRPr="00670240">
        <w:t>Pour augmenter la production, la Commission souligne que plus de clarté et de certitude doivent être fournies aux investisseurs et à l</w:t>
      </w:r>
      <w:r w:rsidRPr="00670240" w:rsidR="00D706CC">
        <w:t>’</w:t>
      </w:r>
      <w:r w:rsidRPr="00670240">
        <w:t>industrie. Pour cela, elle proposera une norme commune à faible émission de carbone pour la promotion des installations de production d</w:t>
      </w:r>
      <w:r w:rsidRPr="00670240" w:rsidR="00D706CC">
        <w:t>’</w:t>
      </w:r>
      <w:r w:rsidRPr="00670240">
        <w:t>hydrogène en fonction de leurs performances en matière d</w:t>
      </w:r>
      <w:r w:rsidRPr="00670240" w:rsidR="00D706CC">
        <w:t>’</w:t>
      </w:r>
      <w:r w:rsidRPr="00670240">
        <w:t xml:space="preserve">émissions directes de </w:t>
      </w:r>
      <w:r w:rsidRPr="00670240" w:rsidR="00210360">
        <w:t>g</w:t>
      </w:r>
      <w:r w:rsidRPr="00670240">
        <w:t xml:space="preserve">az à effet de </w:t>
      </w:r>
      <w:r w:rsidRPr="00670240" w:rsidR="00210360">
        <w:t>s</w:t>
      </w:r>
      <w:r w:rsidRPr="00670240">
        <w:t>erre (GES). Elle pourrait également proposer une terminologie complète et des critères à l</w:t>
      </w:r>
      <w:r w:rsidRPr="00670240" w:rsidR="00D706CC">
        <w:t>’</w:t>
      </w:r>
      <w:r w:rsidRPr="00670240">
        <w:t>échelle européenne pour la certification de l</w:t>
      </w:r>
      <w:r w:rsidRPr="00670240" w:rsidR="00D706CC">
        <w:t>’</w:t>
      </w:r>
      <w:r w:rsidRPr="00670240">
        <w:t>hydrogène renouvelable, en s</w:t>
      </w:r>
      <w:r w:rsidRPr="00670240" w:rsidR="00D706CC">
        <w:t>’</w:t>
      </w:r>
      <w:r w:rsidRPr="00670240">
        <w:t xml:space="preserve">appuyant notamment sur des initiatives existantes comme CertifHy. Par ailleurs, la prochaine révision du </w:t>
      </w:r>
      <w:r w:rsidRPr="00670240" w:rsidR="00210360">
        <w:t>s</w:t>
      </w:r>
      <w:r w:rsidRPr="00670240">
        <w:t>ystème d</w:t>
      </w:r>
      <w:r w:rsidRPr="00670240" w:rsidR="00D706CC">
        <w:t>’</w:t>
      </w:r>
      <w:r w:rsidRPr="00670240">
        <w:t>échange de quotas d</w:t>
      </w:r>
      <w:r w:rsidRPr="00670240" w:rsidR="00D706CC">
        <w:t>’</w:t>
      </w:r>
      <w:r w:rsidRPr="00670240">
        <w:t>émission de l</w:t>
      </w:r>
      <w:r w:rsidRPr="00670240" w:rsidR="00D706CC">
        <w:t>’</w:t>
      </w:r>
      <w:r w:rsidRPr="00670240">
        <w:t>UE (SEQE-UE) devrait introduire des mécanismes supplémentaires pour encourager la production d</w:t>
      </w:r>
      <w:r w:rsidRPr="00670240" w:rsidR="00D706CC">
        <w:t>’</w:t>
      </w:r>
      <w:r w:rsidRPr="00670240">
        <w:t>hydrogène renouvelable et à faible émission de carbone. Par ailleurs, le CCfD (</w:t>
      </w:r>
      <w:r w:rsidRPr="00670240">
        <w:rPr>
          <w:i/>
        </w:rPr>
        <w:t>Carbon Contract for Difference</w:t>
      </w:r>
      <w:r w:rsidRPr="00670240">
        <w:t>), c</w:t>
      </w:r>
      <w:r w:rsidRPr="00670240" w:rsidR="00D706CC">
        <w:t>’</w:t>
      </w:r>
      <w:r w:rsidRPr="00670240">
        <w:t>est-à-dire un appel à projet</w:t>
      </w:r>
      <w:r w:rsidRPr="00670240" w:rsidR="00210360">
        <w:t>s</w:t>
      </w:r>
      <w:r w:rsidRPr="00670240">
        <w:t xml:space="preserve"> </w:t>
      </w:r>
      <w:r w:rsidRPr="00670240" w:rsidR="00210360">
        <w:t xml:space="preserve">de </w:t>
      </w:r>
      <w:r w:rsidRPr="00670240">
        <w:t xml:space="preserve">long terme </w:t>
      </w:r>
      <w:r w:rsidRPr="00670240" w:rsidR="00210360">
        <w:t>assortis d</w:t>
      </w:r>
      <w:r w:rsidRPr="00670240" w:rsidR="00D706CC">
        <w:t>’</w:t>
      </w:r>
      <w:r w:rsidRPr="00670240">
        <w:t>une contrepartie publique, pourrait être considéré pour couvrir la différence entre le prix d</w:t>
      </w:r>
      <w:r w:rsidRPr="00670240" w:rsidR="00D706CC">
        <w:t>’</w:t>
      </w:r>
      <w:r w:rsidRPr="00670240">
        <w:t>exercice du CO</w:t>
      </w:r>
      <w:r w:rsidRPr="00670240">
        <w:rPr>
          <w:vertAlign w:val="subscript"/>
        </w:rPr>
        <w:t>2</w:t>
      </w:r>
      <w:r w:rsidRPr="00670240">
        <w:t xml:space="preserve"> (soit 55-</w:t>
      </w:r>
      <w:r w:rsidRPr="00670240" w:rsidR="00EC07CC">
        <w:t>90 </w:t>
      </w:r>
      <w:r w:rsidRPr="00670240" w:rsidR="005A3A86">
        <w:t>EUR</w:t>
      </w:r>
      <w:r w:rsidRPr="00670240">
        <w:t>/tCO</w:t>
      </w:r>
      <w:r w:rsidRPr="00670240" w:rsidR="00210360">
        <w:rPr>
          <w:vertAlign w:val="subscript"/>
        </w:rPr>
        <w:t>2</w:t>
      </w:r>
      <w:r w:rsidRPr="00670240">
        <w:t>) et le prix réel. Enfin, des régimes de soutien</w:t>
      </w:r>
      <w:r w:rsidRPr="00670240" w:rsidR="00003957">
        <w:t>s</w:t>
      </w:r>
      <w:r w:rsidRPr="00670240">
        <w:t xml:space="preserve"> directs et transparents basés sur le marché pour l</w:t>
      </w:r>
      <w:r w:rsidRPr="00670240" w:rsidR="00D706CC">
        <w:t>’</w:t>
      </w:r>
      <w:r w:rsidRPr="00670240">
        <w:t>hydrogène renouvelable, attribués par voie d</w:t>
      </w:r>
      <w:r w:rsidRPr="00670240" w:rsidR="00D706CC">
        <w:t>’</w:t>
      </w:r>
      <w:r w:rsidRPr="00670240">
        <w:t>appels d</w:t>
      </w:r>
      <w:r w:rsidRPr="00670240" w:rsidR="00D706CC">
        <w:t>’</w:t>
      </w:r>
      <w:r w:rsidRPr="00670240">
        <w:t>offres, pourraient être envisagés.</w:t>
      </w:r>
    </w:p>
    <w:p w:rsidRPr="00670240" w:rsidR="00146641" w:rsidRDefault="00146641">
      <w:pPr>
        <w:ind w:left="567" w:hanging="567"/>
      </w:pPr>
    </w:p>
    <w:p w:rsidRPr="00670240" w:rsidR="00146641" w:rsidP="00160404" w:rsidRDefault="00146641">
      <w:pPr>
        <w:pStyle w:val="Heading3"/>
      </w:pPr>
      <w:r w:rsidRPr="00670240">
        <w:t>Le Commission propose de déployer progressivement les infrastructures</w:t>
      </w:r>
      <w:r w:rsidRPr="00670240" w:rsidR="00661927">
        <w:t xml:space="preserve"> en complément du déploiement de l</w:t>
      </w:r>
      <w:r w:rsidRPr="00670240" w:rsidR="00D706CC">
        <w:t>’</w:t>
      </w:r>
      <w:r w:rsidRPr="00670240" w:rsidR="00661927">
        <w:t>offre d</w:t>
      </w:r>
      <w:r w:rsidRPr="00670240" w:rsidR="00D706CC">
        <w:t>’</w:t>
      </w:r>
      <w:r w:rsidRPr="00670240" w:rsidR="00661927">
        <w:t>équipements fonctionnant à l</w:t>
      </w:r>
      <w:r w:rsidRPr="00670240" w:rsidR="00D706CC">
        <w:t>’</w:t>
      </w:r>
      <w:r w:rsidRPr="00670240" w:rsidR="00661927">
        <w:t>hydrogène propre</w:t>
      </w:r>
      <w:r w:rsidRPr="00670240">
        <w:t>. La demande d</w:t>
      </w:r>
      <w:r w:rsidRPr="00670240" w:rsidR="00D706CC">
        <w:t>’</w:t>
      </w:r>
      <w:r w:rsidRPr="00670240">
        <w:t>hydrogène sera d</w:t>
      </w:r>
      <w:r w:rsidRPr="00670240" w:rsidR="00D706CC">
        <w:t>’</w:t>
      </w:r>
      <w:r w:rsidRPr="00670240">
        <w:t xml:space="preserve">abord satisfaite par un approvisionnement sur place ou à proximité. Ensuite, des pôles régionaux se développeront (les </w:t>
      </w:r>
      <w:r w:rsidRPr="00670240" w:rsidR="00003957">
        <w:t>«</w:t>
      </w:r>
      <w:r w:rsidRPr="00670240">
        <w:t>vallées d</w:t>
      </w:r>
      <w:r w:rsidRPr="00670240" w:rsidR="00D706CC">
        <w:t>’</w:t>
      </w:r>
      <w:r w:rsidRPr="00670240">
        <w:t>hydrogène»), conduisant à un besoin croissant d</w:t>
      </w:r>
      <w:r w:rsidRPr="00670240" w:rsidR="00D706CC">
        <w:t>’</w:t>
      </w:r>
      <w:r w:rsidRPr="00670240">
        <w:t>infrastructures dédiées, non seulement pour les applications industrielles et de transport et l</w:t>
      </w:r>
      <w:r w:rsidRPr="00670240" w:rsidR="00D706CC">
        <w:t>’</w:t>
      </w:r>
      <w:r w:rsidRPr="00670240">
        <w:t>équilibrage électrique, mais aussi pour le chauffage dans les bâtiments résidentiels et commerciaux. Le réseau de gaz existant pourrait être partiellement réutilisé pour le transport sur de plus longues distances d</w:t>
      </w:r>
      <w:r w:rsidRPr="00670240" w:rsidR="00D706CC">
        <w:t>’</w:t>
      </w:r>
      <w:r w:rsidRPr="00670240">
        <w:t>hydrogène renouvelable et des installations de stockage à grande échelle commenceront à être nécessaires.</w:t>
      </w:r>
    </w:p>
    <w:p w:rsidRPr="00670240" w:rsidR="0026245C" w:rsidRDefault="0026245C">
      <w:pPr>
        <w:ind w:left="567" w:hanging="567"/>
      </w:pPr>
    </w:p>
    <w:p w:rsidRPr="00670240" w:rsidR="00146641" w:rsidP="00160404" w:rsidRDefault="00146641">
      <w:pPr>
        <w:pStyle w:val="Heading3"/>
      </w:pPr>
      <w:r w:rsidRPr="00670240">
        <w:t>Afin de promouvoir l</w:t>
      </w:r>
      <w:r w:rsidRPr="00670240" w:rsidR="00D706CC">
        <w:t>’</w:t>
      </w:r>
      <w:r w:rsidRPr="00670240">
        <w:t>émergence de champions européens, la Commission lance une «Alliance européenne pour l</w:t>
      </w:r>
      <w:r w:rsidRPr="00670240" w:rsidR="00D706CC">
        <w:t>’</w:t>
      </w:r>
      <w:r w:rsidRPr="00670240">
        <w:t>hydrogène propre», une collaboration entre les pouvoirs publics, l</w:t>
      </w:r>
      <w:r w:rsidRPr="00670240" w:rsidR="00D706CC">
        <w:t>’</w:t>
      </w:r>
      <w:r w:rsidRPr="00670240">
        <w:t>industrie et la société civile. Elle aura pour mission de 1)</w:t>
      </w:r>
      <w:r w:rsidRPr="00670240" w:rsidR="00CF3243">
        <w:t> </w:t>
      </w:r>
      <w:r w:rsidRPr="00670240">
        <w:t>développer un programme d</w:t>
      </w:r>
      <w:r w:rsidRPr="00670240" w:rsidR="00D706CC">
        <w:t>’</w:t>
      </w:r>
      <w:r w:rsidRPr="00670240">
        <w:t>investissement et une réserve de projets concrets, 2)</w:t>
      </w:r>
      <w:r w:rsidRPr="00670240" w:rsidR="00CF3243">
        <w:t> </w:t>
      </w:r>
      <w:r w:rsidRPr="00670240">
        <w:t xml:space="preserve">faciliter la coopération dans </w:t>
      </w:r>
      <w:r w:rsidRPr="00670240" w:rsidR="00661927">
        <w:t xml:space="preserve">des réseaux de </w:t>
      </w:r>
      <w:r w:rsidRPr="00670240">
        <w:t>projets</w:t>
      </w:r>
      <w:r w:rsidRPr="00670240" w:rsidR="00661927">
        <w:t xml:space="preserve"> régionaux, nationaux et européen</w:t>
      </w:r>
      <w:r w:rsidRPr="00670240">
        <w:t xml:space="preserve"> d</w:t>
      </w:r>
      <w:r w:rsidRPr="00670240" w:rsidR="00D706CC">
        <w:t>’</w:t>
      </w:r>
      <w:r w:rsidRPr="00670240">
        <w:t>investissement le long de la chaîne de valeur de l</w:t>
      </w:r>
      <w:r w:rsidRPr="00670240" w:rsidR="00D706CC">
        <w:t>’</w:t>
      </w:r>
      <w:r w:rsidRPr="00670240">
        <w:t>hydrogène, y compris les projets importants d</w:t>
      </w:r>
      <w:r w:rsidRPr="00670240" w:rsidR="00D706CC">
        <w:t>’</w:t>
      </w:r>
      <w:r w:rsidRPr="00670240">
        <w:t xml:space="preserve">intérêt européen commun (PIIEC) </w:t>
      </w:r>
      <w:r w:rsidRPr="00670240" w:rsidR="00003957">
        <w:t xml:space="preserve">et </w:t>
      </w:r>
      <w:r w:rsidRPr="00670240">
        <w:t>3)</w:t>
      </w:r>
      <w:r w:rsidRPr="00670240" w:rsidR="00CF3243">
        <w:t> </w:t>
      </w:r>
      <w:r w:rsidRPr="00670240">
        <w:t>renforcer le financement pour aider à combler le déficit d</w:t>
      </w:r>
      <w:r w:rsidRPr="00670240" w:rsidR="00D706CC">
        <w:t>’</w:t>
      </w:r>
      <w:r w:rsidRPr="00670240">
        <w:t>investissement. Cette Alliance devrait offrir un vaste forum pour coordonner les investissements de toutes les parties prenantes.</w:t>
      </w:r>
    </w:p>
    <w:p w:rsidRPr="00670240" w:rsidR="00146641" w:rsidRDefault="00146641">
      <w:pPr>
        <w:ind w:left="567" w:hanging="567"/>
      </w:pPr>
    </w:p>
    <w:p w:rsidRPr="00670240" w:rsidR="00146641" w:rsidP="00160404" w:rsidRDefault="00146641">
      <w:pPr>
        <w:pStyle w:val="Heading3"/>
        <w:rPr>
          <w:b/>
        </w:rPr>
      </w:pPr>
      <w:r w:rsidRPr="00670240">
        <w:t xml:space="preserve">La Commission </w:t>
      </w:r>
      <w:r w:rsidRPr="00670240" w:rsidR="00DA2818">
        <w:t xml:space="preserve">entend soutenir </w:t>
      </w:r>
      <w:r w:rsidRPr="00670240">
        <w:t>les investissements stratégiques dans l</w:t>
      </w:r>
      <w:r w:rsidRPr="00670240" w:rsidR="00D706CC">
        <w:t>’</w:t>
      </w:r>
      <w:r w:rsidRPr="00670240">
        <w:t xml:space="preserve">hydrogène propre dans le cadre </w:t>
      </w:r>
      <w:r w:rsidRPr="00670240" w:rsidR="00003957">
        <w:t>de son</w:t>
      </w:r>
      <w:r w:rsidRPr="00670240">
        <w:t xml:space="preserve"> plan de relance</w:t>
      </w:r>
      <w:r w:rsidRPr="00670240" w:rsidR="00DA2818">
        <w:t xml:space="preserve"> et de résilience</w:t>
      </w:r>
      <w:r w:rsidRPr="00670240">
        <w:t>, en particulier par le biais du guichet d</w:t>
      </w:r>
      <w:r w:rsidRPr="00670240" w:rsidR="00D706CC">
        <w:t>’</w:t>
      </w:r>
      <w:r w:rsidRPr="00670240">
        <w:t>investissement stratégique européen d</w:t>
      </w:r>
      <w:r w:rsidRPr="00670240" w:rsidR="00D706CC">
        <w:t>’</w:t>
      </w:r>
      <w:r w:rsidRPr="00670240">
        <w:rPr>
          <w:i/>
        </w:rPr>
        <w:t>InvestEU</w:t>
      </w:r>
      <w:r w:rsidRPr="00670240">
        <w:t xml:space="preserve"> (à partir de 2021).</w:t>
      </w:r>
    </w:p>
    <w:p w:rsidRPr="00670240" w:rsidR="00146641" w:rsidRDefault="00146641">
      <w:pPr>
        <w:pStyle w:val="Heading2"/>
        <w:numPr>
          <w:ilvl w:val="0"/>
          <w:numId w:val="0"/>
        </w:numPr>
        <w:ind w:left="567" w:hanging="567"/>
        <w:rPr>
          <w:b/>
        </w:rPr>
      </w:pPr>
    </w:p>
    <w:p w:rsidRPr="00670240" w:rsidR="00146641" w:rsidP="00160404" w:rsidRDefault="00146641">
      <w:pPr>
        <w:pStyle w:val="Heading3"/>
        <w:rPr>
          <w:b/>
        </w:rPr>
      </w:pPr>
      <w:r w:rsidRPr="00670240">
        <w:t xml:space="preserve">Elle soutiendra également la </w:t>
      </w:r>
      <w:r w:rsidRPr="00670240" w:rsidR="00CF3243">
        <w:t>r</w:t>
      </w:r>
      <w:r w:rsidRPr="00670240">
        <w:t>echerche et l</w:t>
      </w:r>
      <w:r w:rsidRPr="00670240" w:rsidR="00D706CC">
        <w:t>’</w:t>
      </w:r>
      <w:r w:rsidRPr="00670240">
        <w:t>innovation (R&amp;I) par le biais d</w:t>
      </w:r>
      <w:r w:rsidRPr="00670240" w:rsidR="00D706CC">
        <w:t>’</w:t>
      </w:r>
      <w:r w:rsidRPr="00670240">
        <w:t>un partenariat institutionnalisé sur l</w:t>
      </w:r>
      <w:r w:rsidRPr="00670240" w:rsidR="00D706CC">
        <w:t>’</w:t>
      </w:r>
      <w:r w:rsidRPr="00670240">
        <w:t>hydrogène propre ainsi que d</w:t>
      </w:r>
      <w:r w:rsidRPr="00670240" w:rsidR="00D706CC">
        <w:t>’</w:t>
      </w:r>
      <w:r w:rsidRPr="00670240">
        <w:t>importants partenariats sur les transports et l</w:t>
      </w:r>
      <w:r w:rsidRPr="00670240" w:rsidR="00D706CC">
        <w:t>’</w:t>
      </w:r>
      <w:r w:rsidRPr="00670240">
        <w:t xml:space="preserve">industrie, tels que </w:t>
      </w:r>
      <w:r w:rsidRPr="00670240">
        <w:rPr>
          <w:i/>
        </w:rPr>
        <w:t>2Zero</w:t>
      </w:r>
      <w:r w:rsidRPr="00670240">
        <w:t xml:space="preserve"> ou </w:t>
      </w:r>
      <w:r w:rsidRPr="00670240">
        <w:rPr>
          <w:i/>
        </w:rPr>
        <w:t>Clean Steel</w:t>
      </w:r>
      <w:r w:rsidRPr="00670240">
        <w:t>. La Commission apportera un soutien ciblé aux projets solides dans les États membres au moyen d</w:t>
      </w:r>
      <w:r w:rsidRPr="00670240" w:rsidR="00D706CC">
        <w:t>’</w:t>
      </w:r>
      <w:r w:rsidRPr="00670240">
        <w:t xml:space="preserve">instruments dédiés (par exemple </w:t>
      </w:r>
      <w:r w:rsidRPr="00670240">
        <w:rPr>
          <w:i/>
        </w:rPr>
        <w:t>InnovFin EDP</w:t>
      </w:r>
      <w:r w:rsidRPr="00670240">
        <w:t xml:space="preserve">, </w:t>
      </w:r>
      <w:r w:rsidRPr="00670240">
        <w:rPr>
          <w:i/>
        </w:rPr>
        <w:t>InvestEU</w:t>
      </w:r>
      <w:r w:rsidRPr="00670240">
        <w:t>).</w:t>
      </w:r>
      <w:r w:rsidRPr="00670240" w:rsidR="00CF3243">
        <w:t xml:space="preserve"> </w:t>
      </w:r>
      <w:r w:rsidRPr="00670240">
        <w:t>Un instrument interrégional d</w:t>
      </w:r>
      <w:r w:rsidRPr="00670240" w:rsidR="00D706CC">
        <w:t>’</w:t>
      </w:r>
      <w:r w:rsidRPr="00670240">
        <w:t>investissement dans l</w:t>
      </w:r>
      <w:r w:rsidRPr="00670240" w:rsidR="00D706CC">
        <w:t>’</w:t>
      </w:r>
      <w:r w:rsidRPr="00670240">
        <w:t>innovation avec une action pilote sur l</w:t>
      </w:r>
      <w:r w:rsidRPr="00670240" w:rsidR="00D706CC">
        <w:t>’</w:t>
      </w:r>
      <w:r w:rsidRPr="00670240">
        <w:t>hydrogène dans les régions à forte intensité de carbone sera financé dans la prochaine période cadre d</w:t>
      </w:r>
      <w:r w:rsidRPr="00670240" w:rsidR="00CF3243">
        <w:t>u</w:t>
      </w:r>
      <w:r w:rsidRPr="00670240">
        <w:t xml:space="preserve"> Fonds européen de développement régional (FED</w:t>
      </w:r>
      <w:r w:rsidRPr="00670240" w:rsidR="005A3A86">
        <w:t>E</w:t>
      </w:r>
      <w:r w:rsidRPr="00670240">
        <w:t>R).</w:t>
      </w:r>
    </w:p>
    <w:p w:rsidRPr="00670240" w:rsidR="00146641" w:rsidRDefault="00146641">
      <w:pPr>
        <w:ind w:left="567" w:hanging="567"/>
      </w:pPr>
    </w:p>
    <w:p w:rsidRPr="00670240" w:rsidR="00146641" w:rsidP="00160404" w:rsidRDefault="00146641">
      <w:pPr>
        <w:pStyle w:val="Heading3"/>
        <w:rPr>
          <w:b/>
        </w:rPr>
      </w:pPr>
      <w:r w:rsidRPr="00670240">
        <w:t>Enfin, pour promouvoir activement de nouvelles opportunités de coopération sur l</w:t>
      </w:r>
      <w:r w:rsidRPr="00670240" w:rsidR="00D706CC">
        <w:t>’</w:t>
      </w:r>
      <w:r w:rsidRPr="00670240">
        <w:t>hydrogène propre, la stratégie propose de repenser les partenariats énergétiques avec les pays et régions voisins (à l</w:t>
      </w:r>
      <w:r w:rsidRPr="00670240" w:rsidR="00D706CC">
        <w:t>’</w:t>
      </w:r>
      <w:r w:rsidRPr="00670240">
        <w:t>est de l</w:t>
      </w:r>
      <w:r w:rsidRPr="00670240" w:rsidR="00D706CC">
        <w:t>’</w:t>
      </w:r>
      <w:r w:rsidRPr="00670240">
        <w:t>UE, en particulier l</w:t>
      </w:r>
      <w:r w:rsidRPr="00670240" w:rsidR="00D706CC">
        <w:t>’</w:t>
      </w:r>
      <w:r w:rsidRPr="00670240">
        <w:t>Ukraine, et le voisinage sud) à travers les enceintes internationales pertinentes, telles que la Communauté de l</w:t>
      </w:r>
      <w:r w:rsidRPr="00670240" w:rsidR="00D706CC">
        <w:t>’</w:t>
      </w:r>
      <w:r w:rsidRPr="00670240">
        <w:t>énergie ou la Conférence ministérielle sur l</w:t>
      </w:r>
      <w:r w:rsidRPr="00670240" w:rsidR="00D706CC">
        <w:t>’</w:t>
      </w:r>
      <w:r w:rsidRPr="00670240">
        <w:t>énergie propre. Cela s</w:t>
      </w:r>
      <w:r w:rsidRPr="00670240" w:rsidR="00D706CC">
        <w:t>’</w:t>
      </w:r>
      <w:r w:rsidRPr="00670240">
        <w:t>accompagnera d</w:t>
      </w:r>
      <w:r w:rsidRPr="00670240" w:rsidR="00D706CC">
        <w:t>’</w:t>
      </w:r>
      <w:r w:rsidRPr="00670240">
        <w:t>un soutien à l</w:t>
      </w:r>
      <w:r w:rsidRPr="00670240" w:rsidR="00D706CC">
        <w:t>’</w:t>
      </w:r>
      <w:r w:rsidRPr="00670240">
        <w:t>investissement, avec la plateforme d</w:t>
      </w:r>
      <w:r w:rsidRPr="00670240" w:rsidR="00D706CC">
        <w:t>’</w:t>
      </w:r>
      <w:r w:rsidRPr="00670240">
        <w:t>investissement de voisinage et le cadre d</w:t>
      </w:r>
      <w:r w:rsidRPr="00670240" w:rsidR="00D706CC">
        <w:t>’</w:t>
      </w:r>
      <w:r w:rsidRPr="00670240">
        <w:t>investissement pour les Balkans occidentaux. La Commission élaborera une référence pour les transactions libellées en euros dans le domaine de l</w:t>
      </w:r>
      <w:r w:rsidRPr="00670240" w:rsidR="00D706CC">
        <w:t>’</w:t>
      </w:r>
      <w:r w:rsidRPr="00670240">
        <w:t>hydrogène afin de consolider le rôle de l</w:t>
      </w:r>
      <w:r w:rsidRPr="00670240" w:rsidR="00D706CC">
        <w:t>’</w:t>
      </w:r>
      <w:r w:rsidRPr="00670240">
        <w:t>euro dans le commerce de l</w:t>
      </w:r>
      <w:r w:rsidRPr="00670240" w:rsidR="00D706CC">
        <w:t>’</w:t>
      </w:r>
      <w:r w:rsidRPr="00670240">
        <w:t>énergie durable, et intégrera l</w:t>
      </w:r>
      <w:r w:rsidRPr="00670240" w:rsidR="00D706CC">
        <w:t>’</w:t>
      </w:r>
      <w:r w:rsidRPr="00670240">
        <w:t xml:space="preserve">hydrogène </w:t>
      </w:r>
      <w:r w:rsidRPr="00670240" w:rsidR="00A5750A">
        <w:t xml:space="preserve">propre </w:t>
      </w:r>
      <w:r w:rsidRPr="00670240">
        <w:t>dans les efforts diplomatiques internationaux, régionaux et bilatéraux de l</w:t>
      </w:r>
      <w:r w:rsidRPr="00670240" w:rsidR="00D706CC">
        <w:t>’</w:t>
      </w:r>
      <w:r w:rsidRPr="00670240">
        <w:t>UE sur l</w:t>
      </w:r>
      <w:r w:rsidRPr="00670240" w:rsidR="00D706CC">
        <w:t>’</w:t>
      </w:r>
      <w:r w:rsidRPr="00670240">
        <w:t>énergie, le climat, la recherche, le commerce et coopération internationale.</w:t>
      </w:r>
    </w:p>
    <w:p w:rsidRPr="00670240" w:rsidR="00146641" w:rsidRDefault="00146641">
      <w:pPr>
        <w:ind w:left="567" w:hanging="567"/>
      </w:pPr>
    </w:p>
    <w:p w:rsidRPr="00670240" w:rsidR="00146641" w:rsidP="00160404" w:rsidRDefault="00146641">
      <w:pPr>
        <w:pStyle w:val="Heading1"/>
        <w:keepNext/>
        <w:keepLines/>
        <w:ind w:left="567" w:hanging="567"/>
        <w:rPr>
          <w:b/>
        </w:rPr>
      </w:pPr>
      <w:r w:rsidRPr="00670240">
        <w:rPr>
          <w:b/>
        </w:rPr>
        <w:t>Observations générales</w:t>
      </w:r>
    </w:p>
    <w:p w:rsidRPr="00670240" w:rsidR="00146641" w:rsidP="00AA2C91" w:rsidRDefault="00146641">
      <w:pPr>
        <w:keepNext/>
        <w:keepLines/>
        <w:ind w:left="567" w:hanging="567"/>
      </w:pPr>
    </w:p>
    <w:p w:rsidRPr="00670240" w:rsidR="00146641" w:rsidP="00AA2C91" w:rsidRDefault="00146641">
      <w:pPr>
        <w:pStyle w:val="Heading2"/>
        <w:numPr>
          <w:ilvl w:val="1"/>
          <w:numId w:val="5"/>
        </w:numPr>
        <w:overflowPunct/>
        <w:autoSpaceDE/>
        <w:autoSpaceDN/>
        <w:adjustRightInd/>
        <w:spacing w:before="40"/>
        <w:ind w:left="567" w:hanging="567"/>
        <w:textAlignment w:val="auto"/>
        <w:rPr>
          <w:b/>
        </w:rPr>
      </w:pPr>
      <w:r w:rsidRPr="00670240">
        <w:t>L</w:t>
      </w:r>
      <w:r w:rsidRPr="00670240" w:rsidR="00D706CC">
        <w:t>’</w:t>
      </w:r>
      <w:r w:rsidRPr="00670240">
        <w:t xml:space="preserve">objectif du </w:t>
      </w:r>
      <w:r w:rsidRPr="00670240" w:rsidR="0003337B">
        <w:t>p</w:t>
      </w:r>
      <w:r w:rsidRPr="00670240">
        <w:t>acte vert européen, qui est d</w:t>
      </w:r>
      <w:r w:rsidRPr="00670240" w:rsidR="00D706CC">
        <w:t>’</w:t>
      </w:r>
      <w:r w:rsidRPr="00670240">
        <w:t>atteindre la neutralité climatique sur le continent d</w:t>
      </w:r>
      <w:r w:rsidRPr="00670240" w:rsidR="00D706CC">
        <w:t>’</w:t>
      </w:r>
      <w:r w:rsidRPr="00670240">
        <w:t>ici 2050, a besoin de politiques concrètes pour devenir une réalité. De plus</w:t>
      </w:r>
      <w:r w:rsidRPr="00670240" w:rsidR="00EB0FC9">
        <w:t>,</w:t>
      </w:r>
      <w:r w:rsidRPr="00670240">
        <w:t xml:space="preserve"> l</w:t>
      </w:r>
      <w:r w:rsidRPr="00670240" w:rsidR="00D706CC">
        <w:t>’</w:t>
      </w:r>
      <w:r w:rsidRPr="00670240">
        <w:t>Union européenne se trouve actuellement dans une situation d</w:t>
      </w:r>
      <w:r w:rsidRPr="00670240" w:rsidR="00D706CC">
        <w:t>’</w:t>
      </w:r>
      <w:r w:rsidRPr="00670240">
        <w:t xml:space="preserve">urgence à la fois sanitaire et économique provoquée par la pandémie de </w:t>
      </w:r>
      <w:r w:rsidRPr="00670240" w:rsidR="0003337B">
        <w:t>la COVID-</w:t>
      </w:r>
      <w:r w:rsidRPr="00670240">
        <w:t xml:space="preserve">19. </w:t>
      </w:r>
      <w:r w:rsidRPr="00670240" w:rsidR="00DA2818">
        <w:t>L</w:t>
      </w:r>
      <w:r w:rsidRPr="00670240" w:rsidR="00D706CC">
        <w:t>’</w:t>
      </w:r>
      <w:r w:rsidRPr="00670240" w:rsidR="00DA2818">
        <w:t xml:space="preserve">Union européenne et les </w:t>
      </w:r>
      <w:r w:rsidRPr="00670240" w:rsidR="00B934EA">
        <w:t>É</w:t>
      </w:r>
      <w:r w:rsidRPr="00670240" w:rsidR="00DA2818">
        <w:t>tats membres</w:t>
      </w:r>
      <w:r w:rsidRPr="00670240">
        <w:t xml:space="preserve"> doivent donc coordonner leur réaction à ces crises, afin que la relance économique serve de tremplin vers un avenir </w:t>
      </w:r>
      <w:r w:rsidRPr="00670240" w:rsidR="00FF2AC4">
        <w:t xml:space="preserve">propre et </w:t>
      </w:r>
      <w:r w:rsidRPr="00670240">
        <w:t xml:space="preserve">résilient. </w:t>
      </w:r>
      <w:r w:rsidRPr="00670240" w:rsidR="00834852">
        <w:t xml:space="preserve">Cet avenir </w:t>
      </w:r>
      <w:r w:rsidRPr="00670240" w:rsidR="00242DBF">
        <w:t>nécessite</w:t>
      </w:r>
      <w:r w:rsidRPr="00670240" w:rsidR="00FF2AC4">
        <w:t xml:space="preserve"> d</w:t>
      </w:r>
      <w:r w:rsidRPr="00670240" w:rsidR="00D706CC">
        <w:t>’</w:t>
      </w:r>
      <w:r w:rsidRPr="00670240" w:rsidR="00242DBF">
        <w:t>accroître</w:t>
      </w:r>
      <w:r w:rsidRPr="00670240" w:rsidR="00FF2AC4">
        <w:t xml:space="preserve"> la</w:t>
      </w:r>
      <w:r w:rsidRPr="00670240" w:rsidR="00834852">
        <w:t xml:space="preserve"> </w:t>
      </w:r>
      <w:r w:rsidRPr="00670240" w:rsidR="00242DBF">
        <w:t>souveraineté</w:t>
      </w:r>
      <w:r w:rsidRPr="00670240" w:rsidR="00834852">
        <w:t xml:space="preserve"> économique de </w:t>
      </w:r>
      <w:r w:rsidRPr="00670240" w:rsidR="00FF2AC4">
        <w:t>l</w:t>
      </w:r>
      <w:r w:rsidRPr="00670240" w:rsidR="00D706CC">
        <w:t>’</w:t>
      </w:r>
      <w:r w:rsidRPr="00670240" w:rsidR="00FF2AC4">
        <w:t>UE, en partie par</w:t>
      </w:r>
      <w:r w:rsidRPr="00670240" w:rsidR="00834852">
        <w:t xml:space="preserve"> le développement des énergies renouvelables et </w:t>
      </w:r>
      <w:r w:rsidRPr="00670240" w:rsidR="00FF2AC4">
        <w:t>d</w:t>
      </w:r>
      <w:r w:rsidRPr="00670240" w:rsidR="00834852">
        <w:t>es capacités de stockage qui y sont rattachées.</w:t>
      </w:r>
    </w:p>
    <w:p w:rsidRPr="00670240" w:rsidR="00146641" w:rsidRDefault="00146641">
      <w:pPr>
        <w:ind w:left="567" w:hanging="567"/>
      </w:pPr>
    </w:p>
    <w:p w:rsidRPr="00670240" w:rsidR="00146641" w:rsidRDefault="00146641">
      <w:pPr>
        <w:pStyle w:val="Heading2"/>
        <w:keepNext/>
        <w:keepLines/>
        <w:numPr>
          <w:ilvl w:val="1"/>
          <w:numId w:val="5"/>
        </w:numPr>
        <w:overflowPunct/>
        <w:autoSpaceDE/>
        <w:autoSpaceDN/>
        <w:adjustRightInd/>
        <w:spacing w:before="40"/>
        <w:ind w:left="567" w:hanging="567"/>
        <w:textAlignment w:val="auto"/>
      </w:pPr>
      <w:r w:rsidRPr="00670240">
        <w:t>Le CESE soutient donc la stratégie de la Commission européenne visant à créer un environnement propice pour accroître l</w:t>
      </w:r>
      <w:r w:rsidRPr="00670240" w:rsidR="00D706CC">
        <w:t>’</w:t>
      </w:r>
      <w:r w:rsidRPr="00670240">
        <w:t>offre et la demande d</w:t>
      </w:r>
      <w:r w:rsidRPr="00670240" w:rsidR="00D706CC">
        <w:t>’</w:t>
      </w:r>
      <w:r w:rsidRPr="00670240">
        <w:t>hydrogène pour une économie climatiquement neutre. Il tient cependant à souligner que le succès de l</w:t>
      </w:r>
      <w:r w:rsidRPr="00670240" w:rsidR="00D706CC">
        <w:t>’</w:t>
      </w:r>
      <w:r w:rsidRPr="00670240">
        <w:t>hydrogène propre dépend de l</w:t>
      </w:r>
      <w:r w:rsidRPr="00670240" w:rsidR="00D706CC">
        <w:t>’</w:t>
      </w:r>
      <w:r w:rsidRPr="00670240">
        <w:t>augmentation considérable de l</w:t>
      </w:r>
      <w:r w:rsidRPr="00670240" w:rsidR="00D706CC">
        <w:t>’</w:t>
      </w:r>
      <w:r w:rsidRPr="00670240">
        <w:t>efficacité de notre système énergétique et d</w:t>
      </w:r>
      <w:r w:rsidRPr="00670240" w:rsidR="00D706CC">
        <w:t>’</w:t>
      </w:r>
      <w:r w:rsidRPr="00670240">
        <w:t>un déploiement massif des énergies renouvelables, afin d</w:t>
      </w:r>
      <w:r w:rsidRPr="00670240" w:rsidR="00D706CC">
        <w:t>’</w:t>
      </w:r>
      <w:r w:rsidRPr="00670240">
        <w:t>étendre l</w:t>
      </w:r>
      <w:r w:rsidRPr="00670240" w:rsidR="00D706CC">
        <w:t>’</w:t>
      </w:r>
      <w:r w:rsidRPr="00670240">
        <w:t xml:space="preserve">électrification de nos usages. </w:t>
      </w:r>
    </w:p>
    <w:p w:rsidRPr="00670240" w:rsidR="00D136A7" w:rsidRDefault="00D136A7">
      <w:pPr>
        <w:ind w:left="567" w:hanging="567"/>
      </w:pPr>
    </w:p>
    <w:p w:rsidRPr="00670240" w:rsidR="00146641" w:rsidP="00160404" w:rsidRDefault="00146641">
      <w:pPr>
        <w:pStyle w:val="Heading2"/>
        <w:numPr>
          <w:ilvl w:val="1"/>
          <w:numId w:val="5"/>
        </w:numPr>
        <w:overflowPunct/>
        <w:autoSpaceDE/>
        <w:autoSpaceDN/>
        <w:adjustRightInd/>
        <w:spacing w:before="40"/>
        <w:ind w:left="567" w:hanging="567"/>
        <w:textAlignment w:val="auto"/>
        <w:rPr>
          <w:b/>
        </w:rPr>
      </w:pPr>
      <w:r w:rsidRPr="00670240">
        <w:t>En effet, si le CESE se félicite des objectifs ambitieux fixés par la stratégie en matière de déploiement d</w:t>
      </w:r>
      <w:r w:rsidRPr="00670240" w:rsidR="00D706CC">
        <w:t>’</w:t>
      </w:r>
      <w:r w:rsidRPr="00670240">
        <w:t>électrolyseurs pour la production d</w:t>
      </w:r>
      <w:r w:rsidRPr="00670240" w:rsidR="00D706CC">
        <w:t>’</w:t>
      </w:r>
      <w:r w:rsidRPr="00670240">
        <w:t>hydrogène renouvelable</w:t>
      </w:r>
      <w:r w:rsidRPr="00670240" w:rsidR="0003337B">
        <w:t>,</w:t>
      </w:r>
      <w:r w:rsidRPr="00670240">
        <w:t xml:space="preserve"> il souligne que la priorité doit être de renforcer la capacité renouvelable installée en Europe pour satisfaire une demande croissante </w:t>
      </w:r>
      <w:r w:rsidRPr="00670240" w:rsidR="0026245C">
        <w:t>due à l</w:t>
      </w:r>
      <w:r w:rsidRPr="00670240" w:rsidR="005A3A86">
        <w:t>’</w:t>
      </w:r>
      <w:r w:rsidRPr="00670240" w:rsidR="0026245C">
        <w:t>él</w:t>
      </w:r>
      <w:r w:rsidRPr="00670240" w:rsidR="00E0553F">
        <w:t>e</w:t>
      </w:r>
      <w:r w:rsidRPr="00670240" w:rsidR="0026245C">
        <w:t>ctrification de nos usage</w:t>
      </w:r>
      <w:r w:rsidRPr="00670240" w:rsidR="001C7EFB">
        <w:t>s</w:t>
      </w:r>
      <w:r w:rsidRPr="00670240" w:rsidR="0026245C">
        <w:t>, à laquelle s</w:t>
      </w:r>
      <w:r w:rsidRPr="00670240" w:rsidR="00D706CC">
        <w:t>’</w:t>
      </w:r>
      <w:r w:rsidRPr="00670240" w:rsidR="0026245C">
        <w:t>ajoute celle due à la production de l</w:t>
      </w:r>
      <w:r w:rsidRPr="00670240" w:rsidR="00D706CC">
        <w:t>’</w:t>
      </w:r>
      <w:r w:rsidRPr="00670240" w:rsidR="0026245C">
        <w:t>hydrogène propre</w:t>
      </w:r>
      <w:r w:rsidRPr="00670240">
        <w:t>.</w:t>
      </w:r>
      <w:r w:rsidRPr="00670240" w:rsidR="0026245C">
        <w:t xml:space="preserve"> </w:t>
      </w:r>
      <w:r w:rsidRPr="00670240">
        <w:t>À l</w:t>
      </w:r>
      <w:r w:rsidRPr="00670240" w:rsidR="00D706CC">
        <w:t>’</w:t>
      </w:r>
      <w:r w:rsidRPr="00670240">
        <w:t>heure actuelle, la trajectoire de développement des énergies renouvelables n</w:t>
      </w:r>
      <w:r w:rsidRPr="00670240" w:rsidR="00D706CC">
        <w:t>’</w:t>
      </w:r>
      <w:r w:rsidRPr="00670240">
        <w:t>intègre pas la production d</w:t>
      </w:r>
      <w:r w:rsidRPr="00670240" w:rsidR="00D706CC">
        <w:t>’</w:t>
      </w:r>
      <w:r w:rsidRPr="00670240">
        <w:t>hydrogène et seulement un tiers environ de la consommation d</w:t>
      </w:r>
      <w:r w:rsidRPr="00670240" w:rsidR="00D706CC">
        <w:t>’</w:t>
      </w:r>
      <w:r w:rsidRPr="00670240">
        <w:t>électricité de l</w:t>
      </w:r>
      <w:r w:rsidRPr="00670240" w:rsidR="00D706CC">
        <w:t>’</w:t>
      </w:r>
      <w:r w:rsidRPr="00670240">
        <w:t>UE est alimentée par des énergies renouvelables</w:t>
      </w:r>
      <w:r w:rsidRPr="00670240">
        <w:rPr>
          <w:rStyle w:val="FootnoteReference"/>
        </w:rPr>
        <w:footnoteReference w:id="10"/>
      </w:r>
      <w:r w:rsidRPr="00670240">
        <w:t>.</w:t>
      </w:r>
    </w:p>
    <w:p w:rsidR="00146641" w:rsidRDefault="00146641">
      <w:pPr>
        <w:ind w:left="567" w:hanging="567"/>
      </w:pPr>
    </w:p>
    <w:p w:rsidRPr="00670240" w:rsidR="007F1460" w:rsidRDefault="007F1460">
      <w:pPr>
        <w:ind w:left="567" w:hanging="567"/>
      </w:pPr>
    </w:p>
    <w:p w:rsidRPr="00670240" w:rsidR="00162A45" w:rsidRDefault="00146641">
      <w:pPr>
        <w:pStyle w:val="Heading2"/>
        <w:keepNext/>
        <w:keepLines/>
        <w:numPr>
          <w:ilvl w:val="1"/>
          <w:numId w:val="5"/>
        </w:numPr>
        <w:overflowPunct/>
        <w:autoSpaceDE/>
        <w:autoSpaceDN/>
        <w:adjustRightInd/>
        <w:spacing w:before="40"/>
        <w:ind w:left="567" w:hanging="567"/>
        <w:textAlignment w:val="auto"/>
      </w:pPr>
      <w:r w:rsidRPr="00670240">
        <w:t>Le CESE accueille favorablement les clarifications de la Commission concernant la définition de l</w:t>
      </w:r>
      <w:r w:rsidRPr="00670240" w:rsidR="00D706CC">
        <w:t>’</w:t>
      </w:r>
      <w:r w:rsidRPr="00670240">
        <w:t>hydrogène propre, défini comme issu de l</w:t>
      </w:r>
      <w:r w:rsidRPr="00670240" w:rsidR="00D706CC">
        <w:t>’</w:t>
      </w:r>
      <w:r w:rsidRPr="00670240">
        <w:t>électrolyse à base d</w:t>
      </w:r>
      <w:r w:rsidRPr="00670240" w:rsidR="00D706CC">
        <w:t>’</w:t>
      </w:r>
      <w:r w:rsidRPr="00670240">
        <w:t>électricité renouvelable, à partir de l</w:t>
      </w:r>
      <w:r w:rsidRPr="00670240" w:rsidR="00D706CC">
        <w:t>’</w:t>
      </w:r>
      <w:r w:rsidRPr="00670240">
        <w:t>énergie éolienne</w:t>
      </w:r>
      <w:r w:rsidRPr="00670240" w:rsidR="001C7EFB">
        <w:t>,</w:t>
      </w:r>
      <w:r w:rsidRPr="00670240" w:rsidR="00A071D1">
        <w:t xml:space="preserve"> </w:t>
      </w:r>
      <w:r w:rsidRPr="00670240">
        <w:t>solaire</w:t>
      </w:r>
      <w:r w:rsidRPr="00670240" w:rsidR="00A071D1">
        <w:t xml:space="preserve"> et hydraulique</w:t>
      </w:r>
      <w:r w:rsidRPr="00670240">
        <w:t>, ou la conversion biochimique de la biomasse renouvelable, et se réjouit qu</w:t>
      </w:r>
      <w:r w:rsidRPr="00670240" w:rsidR="00D706CC">
        <w:t>’</w:t>
      </w:r>
      <w:r w:rsidRPr="00670240">
        <w:t>il constitue pour l</w:t>
      </w:r>
      <w:r w:rsidRPr="00670240" w:rsidR="00D706CC">
        <w:t>’</w:t>
      </w:r>
      <w:r w:rsidRPr="00670240">
        <w:t>UE une priorité,</w:t>
      </w:r>
      <w:r w:rsidRPr="00670240" w:rsidR="00FF2AC4">
        <w:t xml:space="preserve"> </w:t>
      </w:r>
      <w:r w:rsidRPr="00670240">
        <w:t>en tant qu</w:t>
      </w:r>
      <w:r w:rsidRPr="00670240" w:rsidR="00EB0FC9">
        <w:t xml:space="preserve">e seule </w:t>
      </w:r>
      <w:r w:rsidRPr="00670240">
        <w:t xml:space="preserve">option compatible avec </w:t>
      </w:r>
      <w:r w:rsidRPr="00670240" w:rsidR="00FF2AC4">
        <w:t xml:space="preserve">les objectifs de </w:t>
      </w:r>
      <w:r w:rsidRPr="00670240">
        <w:t>neutralité climatique</w:t>
      </w:r>
      <w:r w:rsidRPr="00670240" w:rsidR="00162A45">
        <w:t>.</w:t>
      </w:r>
    </w:p>
    <w:p w:rsidRPr="00670240" w:rsidR="00146641" w:rsidP="00AA2C91" w:rsidRDefault="00146641">
      <w:pPr>
        <w:pStyle w:val="Heading2"/>
        <w:keepNext/>
        <w:keepLines/>
        <w:numPr>
          <w:ilvl w:val="0"/>
          <w:numId w:val="0"/>
        </w:numPr>
        <w:overflowPunct/>
        <w:autoSpaceDE/>
        <w:autoSpaceDN/>
        <w:adjustRightInd/>
        <w:spacing w:before="40"/>
        <w:ind w:left="567"/>
        <w:textAlignment w:val="auto"/>
      </w:pPr>
    </w:p>
    <w:p w:rsidRPr="00670240" w:rsidR="00146641" w:rsidP="00160404" w:rsidRDefault="00146641">
      <w:pPr>
        <w:pStyle w:val="Heading2"/>
        <w:keepNext/>
        <w:keepLines/>
        <w:numPr>
          <w:ilvl w:val="1"/>
          <w:numId w:val="5"/>
        </w:numPr>
        <w:overflowPunct/>
        <w:autoSpaceDE/>
        <w:autoSpaceDN/>
        <w:adjustRightInd/>
        <w:spacing w:before="40"/>
        <w:ind w:left="567" w:hanging="567"/>
        <w:textAlignment w:val="auto"/>
      </w:pPr>
      <w:r w:rsidRPr="00670240">
        <w:t>Le CESE prend cependant note du fait que la stratégie garde la porte ouverte à d</w:t>
      </w:r>
      <w:r w:rsidRPr="00670240" w:rsidR="00D706CC">
        <w:t>’</w:t>
      </w:r>
      <w:r w:rsidRPr="00670240">
        <w:t>autres formes d</w:t>
      </w:r>
      <w:r w:rsidRPr="00670240" w:rsidR="00D706CC">
        <w:t>’</w:t>
      </w:r>
      <w:r w:rsidRPr="00670240">
        <w:t>hydrogène à faible teneur en carbone à court et moyen termes, obtenu à partir de combustibles fossiles avec captage et stockage du carbone (CSC)</w:t>
      </w:r>
      <w:r w:rsidRPr="00670240">
        <w:rPr>
          <w:rStyle w:val="FootnoteReference"/>
        </w:rPr>
        <w:footnoteReference w:id="11"/>
      </w:r>
      <w:r w:rsidRPr="00670240">
        <w:t xml:space="preserve">, technologie encore en voie </w:t>
      </w:r>
      <w:r w:rsidRPr="00670240" w:rsidR="0003337B">
        <w:t xml:space="preserve">de </w:t>
      </w:r>
      <w:r w:rsidRPr="00670240">
        <w:t xml:space="preserve">déploiement. </w:t>
      </w:r>
      <w:r w:rsidRPr="00670240" w:rsidR="00162A45">
        <w:t xml:space="preserve">Le </w:t>
      </w:r>
      <w:r w:rsidRPr="00670240">
        <w:t>CESE rappelle que l</w:t>
      </w:r>
      <w:r w:rsidRPr="00670240" w:rsidR="00D706CC">
        <w:t>’</w:t>
      </w:r>
      <w:r w:rsidRPr="00670240">
        <w:t xml:space="preserve">hydrogène avec CSC </w:t>
      </w:r>
      <w:r w:rsidRPr="00670240" w:rsidR="00834852">
        <w:t xml:space="preserve">ne peut en aucun cas </w:t>
      </w:r>
      <w:r w:rsidRPr="00670240" w:rsidR="00242DBF">
        <w:t>être</w:t>
      </w:r>
      <w:r w:rsidRPr="00670240" w:rsidR="00834852">
        <w:t xml:space="preserve"> considéré comme une source d</w:t>
      </w:r>
      <w:r w:rsidRPr="00670240" w:rsidR="00D706CC">
        <w:t>’</w:t>
      </w:r>
      <w:r w:rsidRPr="00670240" w:rsidR="00834852">
        <w:t xml:space="preserve">énergie verte si son usage est lié </w:t>
      </w:r>
      <w:r w:rsidRPr="00670240" w:rsidR="0084419D">
        <w:t>à l</w:t>
      </w:r>
      <w:r w:rsidRPr="00670240" w:rsidR="00D706CC">
        <w:t>’</w:t>
      </w:r>
      <w:r w:rsidRPr="00670240" w:rsidR="0084419D">
        <w:t>extraction directe ou indirecte d</w:t>
      </w:r>
      <w:r w:rsidRPr="00670240" w:rsidR="00D706CC">
        <w:t>’</w:t>
      </w:r>
      <w:r w:rsidRPr="00670240" w:rsidR="0084419D">
        <w:t>énergie fossile</w:t>
      </w:r>
      <w:r w:rsidRPr="00670240">
        <w:t xml:space="preserve">. </w:t>
      </w:r>
      <w:r w:rsidRPr="00670240" w:rsidR="0084419D">
        <w:t>Le CESE souligne le besoin d</w:t>
      </w:r>
      <w:r w:rsidRPr="00670240" w:rsidR="00D706CC">
        <w:t>’</w:t>
      </w:r>
      <w:r w:rsidRPr="00670240" w:rsidR="0084419D">
        <w:t>avoir des outils d</w:t>
      </w:r>
      <w:r w:rsidRPr="00670240" w:rsidR="00D706CC">
        <w:t>’</w:t>
      </w:r>
      <w:r w:rsidRPr="00670240" w:rsidR="0084419D">
        <w:t>analyse carbone sur l</w:t>
      </w:r>
      <w:r w:rsidRPr="00670240" w:rsidR="00D706CC">
        <w:t>’</w:t>
      </w:r>
      <w:r w:rsidRPr="00670240" w:rsidR="0084419D">
        <w:t xml:space="preserve">ensemble de la </w:t>
      </w:r>
      <w:r w:rsidRPr="00670240" w:rsidR="00E0553F">
        <w:t>chaîne</w:t>
      </w:r>
      <w:r w:rsidRPr="00670240" w:rsidR="0084419D">
        <w:t xml:space="preserve"> de valeur de </w:t>
      </w:r>
      <w:r w:rsidRPr="00670240" w:rsidR="00B934EA">
        <w:t>l</w:t>
      </w:r>
      <w:r w:rsidRPr="00670240" w:rsidR="00D706CC">
        <w:t>’</w:t>
      </w:r>
      <w:r w:rsidRPr="00670240">
        <w:t xml:space="preserve">hydrogène </w:t>
      </w:r>
      <w:r w:rsidRPr="00670240" w:rsidR="0084419D">
        <w:t xml:space="preserve">couplé au CSC pour </w:t>
      </w:r>
      <w:r w:rsidRPr="00670240" w:rsidR="00B934EA">
        <w:t>ê</w:t>
      </w:r>
      <w:r w:rsidRPr="00670240" w:rsidR="0084419D">
        <w:t xml:space="preserve">tre </w:t>
      </w:r>
      <w:r w:rsidRPr="00670240" w:rsidR="00242DBF">
        <w:t>désigné</w:t>
      </w:r>
      <w:r w:rsidRPr="00670240" w:rsidR="0084419D">
        <w:t xml:space="preserve"> comme</w:t>
      </w:r>
      <w:r w:rsidRPr="00670240">
        <w:t xml:space="preserve"> sobre en carbone plutôt que zéro carbone</w:t>
      </w:r>
      <w:r w:rsidRPr="00670240">
        <w:rPr>
          <w:rStyle w:val="FootnoteReference"/>
        </w:rPr>
        <w:footnoteReference w:id="12"/>
      </w:r>
      <w:r w:rsidRPr="00670240">
        <w:t xml:space="preserve"> et </w:t>
      </w:r>
      <w:r w:rsidRPr="00670240" w:rsidR="0084419D">
        <w:t>éviter que</w:t>
      </w:r>
      <w:r w:rsidRPr="00670240">
        <w:t xml:space="preserve"> les économies d</w:t>
      </w:r>
      <w:r w:rsidRPr="00670240" w:rsidR="00D706CC">
        <w:t>’</w:t>
      </w:r>
      <w:r w:rsidRPr="00670240">
        <w:t xml:space="preserve">émissions </w:t>
      </w:r>
      <w:r w:rsidRPr="00670240" w:rsidR="0084419D">
        <w:t>soient</w:t>
      </w:r>
      <w:r w:rsidRPr="00670240">
        <w:t xml:space="preserve"> insuffisantes pour atteindre les objectifs d</w:t>
      </w:r>
      <w:r w:rsidRPr="00670240" w:rsidR="00D706CC">
        <w:t>’</w:t>
      </w:r>
      <w:r w:rsidRPr="00670240">
        <w:t>émissions attendus à long terme.</w:t>
      </w:r>
    </w:p>
    <w:p w:rsidRPr="00670240" w:rsidR="00146641" w:rsidRDefault="00146641">
      <w:pPr>
        <w:ind w:left="567" w:hanging="567"/>
      </w:pPr>
    </w:p>
    <w:p w:rsidRPr="00670240" w:rsidR="00146641" w:rsidP="00160404" w:rsidRDefault="00146641">
      <w:pPr>
        <w:pStyle w:val="Heading2"/>
        <w:keepNext/>
        <w:keepLines/>
        <w:numPr>
          <w:ilvl w:val="1"/>
          <w:numId w:val="5"/>
        </w:numPr>
        <w:overflowPunct/>
        <w:autoSpaceDE/>
        <w:autoSpaceDN/>
        <w:adjustRightInd/>
        <w:spacing w:before="40"/>
        <w:ind w:left="567" w:hanging="567"/>
        <w:textAlignment w:val="auto"/>
      </w:pPr>
      <w:r w:rsidRPr="00670240">
        <w:t>De plus, le CESE signale que selon les analyses de la Cour des comptes européenne, les financements affectés par l</w:t>
      </w:r>
      <w:r w:rsidRPr="00670240" w:rsidR="00D706CC">
        <w:t>’</w:t>
      </w:r>
      <w:r w:rsidRPr="00670240">
        <w:t>UE au soutien du CSC, tels que NER</w:t>
      </w:r>
      <w:r w:rsidRPr="00670240" w:rsidR="0003337B">
        <w:t> </w:t>
      </w:r>
      <w:r w:rsidRPr="00670240">
        <w:t>300, n</w:t>
      </w:r>
      <w:r w:rsidRPr="00670240" w:rsidR="00D706CC">
        <w:t>’</w:t>
      </w:r>
      <w:r w:rsidRPr="00670240">
        <w:t>ont «donné lieu à la mise en œuvre d</w:t>
      </w:r>
      <w:r w:rsidRPr="00670240" w:rsidR="00D706CC">
        <w:t>’</w:t>
      </w:r>
      <w:r w:rsidRPr="00670240">
        <w:t>aucun projet concluant de captage et de stockage du carbone»</w:t>
      </w:r>
      <w:r w:rsidRPr="00670240">
        <w:rPr>
          <w:rStyle w:val="FootnoteReference"/>
        </w:rPr>
        <w:footnoteReference w:id="13"/>
      </w:r>
      <w:r w:rsidRPr="00670240">
        <w:t>. Il existe donc une grande incertitude quant à la faisabilité technique du CSC et peu de certitude quant au soutien public dont il jouit.</w:t>
      </w:r>
    </w:p>
    <w:p w:rsidRPr="00670240" w:rsidR="00146641" w:rsidRDefault="00146641">
      <w:pPr>
        <w:pStyle w:val="ListParagraph"/>
        <w:spacing w:line="288" w:lineRule="auto"/>
        <w:ind w:left="567" w:hanging="567"/>
        <w:rPr>
          <w:rFonts w:ascii="Times New Roman" w:hAnsi="Times New Roman" w:cs="Times New Roman"/>
        </w:rPr>
      </w:pPr>
    </w:p>
    <w:p w:rsidRPr="00670240" w:rsidR="00146641" w:rsidP="00160404" w:rsidRDefault="00146641">
      <w:pPr>
        <w:pStyle w:val="Heading2"/>
        <w:numPr>
          <w:ilvl w:val="1"/>
          <w:numId w:val="5"/>
        </w:numPr>
        <w:overflowPunct/>
        <w:autoSpaceDE/>
        <w:autoSpaceDN/>
        <w:adjustRightInd/>
        <w:spacing w:before="40"/>
        <w:ind w:left="567" w:hanging="567"/>
        <w:textAlignment w:val="auto"/>
      </w:pPr>
      <w:r w:rsidRPr="00670240">
        <w:t>Le CESE prend note de l</w:t>
      </w:r>
      <w:r w:rsidRPr="00670240" w:rsidR="00D706CC">
        <w:t>’</w:t>
      </w:r>
      <w:r w:rsidRPr="00670240">
        <w:t>estimation de la Commission selon laquelle des prix du carbone de l</w:t>
      </w:r>
      <w:r w:rsidRPr="00670240" w:rsidR="00D706CC">
        <w:t>’</w:t>
      </w:r>
      <w:r w:rsidRPr="00670240">
        <w:t>ordre de 55</w:t>
      </w:r>
      <w:r w:rsidRPr="00670240" w:rsidR="0003337B">
        <w:t> </w:t>
      </w:r>
      <w:r w:rsidRPr="00670240">
        <w:t>à 90</w:t>
      </w:r>
      <w:r w:rsidRPr="00670240" w:rsidR="0003337B">
        <w:t> </w:t>
      </w:r>
      <w:r w:rsidRPr="00670240">
        <w:t>euros par tonne de CO</w:t>
      </w:r>
      <w:r w:rsidRPr="00670240" w:rsidR="00210360">
        <w:rPr>
          <w:vertAlign w:val="subscript"/>
        </w:rPr>
        <w:t>2</w:t>
      </w:r>
      <w:r w:rsidRPr="00670240">
        <w:t xml:space="preserve"> seraient nécessaires pour rendre l</w:t>
      </w:r>
      <w:r w:rsidRPr="00670240" w:rsidR="00D706CC">
        <w:t>’</w:t>
      </w:r>
      <w:r w:rsidRPr="00670240">
        <w:t>hydrogène d</w:t>
      </w:r>
      <w:r w:rsidRPr="00670240" w:rsidR="00D706CC">
        <w:t>’</w:t>
      </w:r>
      <w:r w:rsidRPr="00670240">
        <w:t>origine fossile avec capture du carbone compétitif par rapport à l</w:t>
      </w:r>
      <w:r w:rsidRPr="00670240" w:rsidR="00D706CC">
        <w:t>’</w:t>
      </w:r>
      <w:r w:rsidRPr="00670240">
        <w:t>hydrogène d</w:t>
      </w:r>
      <w:r w:rsidRPr="00670240" w:rsidR="00D706CC">
        <w:t>’</w:t>
      </w:r>
      <w:r w:rsidRPr="00670240">
        <w:t xml:space="preserve">origine fossile et invite la Commission à </w:t>
      </w:r>
      <w:r w:rsidRPr="00670240" w:rsidR="00B62B56">
        <w:t>décrire le modèle financier des investissements qui conduisent à un tel co</w:t>
      </w:r>
      <w:r w:rsidRPr="00670240" w:rsidR="00B934EA">
        <w:t>û</w:t>
      </w:r>
      <w:r w:rsidRPr="00670240" w:rsidR="00B62B56">
        <w:t xml:space="preserve">t de compensation, </w:t>
      </w:r>
      <w:r w:rsidRPr="00670240" w:rsidR="00242DBF">
        <w:t>particulièrement</w:t>
      </w:r>
      <w:r w:rsidRPr="00670240" w:rsidR="00B62B56">
        <w:t xml:space="preserve"> </w:t>
      </w:r>
      <w:r w:rsidRPr="00670240" w:rsidR="0084419D">
        <w:t>l</w:t>
      </w:r>
      <w:r w:rsidRPr="00670240" w:rsidR="00D706CC">
        <w:t>’</w:t>
      </w:r>
      <w:r w:rsidRPr="00670240" w:rsidR="0084419D">
        <w:t>impact du co</w:t>
      </w:r>
      <w:r w:rsidRPr="00670240" w:rsidR="00B934EA">
        <w:t>û</w:t>
      </w:r>
      <w:r w:rsidRPr="00670240" w:rsidR="0084419D">
        <w:t>t du capital mobilisé</w:t>
      </w:r>
      <w:r w:rsidRPr="00670240" w:rsidR="00B62B56">
        <w:t xml:space="preserve"> par les investissements privés qui </w:t>
      </w:r>
      <w:r w:rsidRPr="00670240" w:rsidR="0084419D">
        <w:t>induisent le surco</w:t>
      </w:r>
      <w:r w:rsidRPr="00670240" w:rsidR="00B934EA">
        <w:t>û</w:t>
      </w:r>
      <w:r w:rsidRPr="00670240" w:rsidR="0084419D">
        <w:t>t des projets.</w:t>
      </w:r>
      <w:r w:rsidRPr="00670240" w:rsidR="00B62B56">
        <w:t xml:space="preserve"> Le </w:t>
      </w:r>
      <w:r w:rsidRPr="00670240" w:rsidR="00D901AD">
        <w:t xml:space="preserve">CESE </w:t>
      </w:r>
      <w:r w:rsidRPr="00670240" w:rsidR="00834852">
        <w:t>invite la Commission à</w:t>
      </w:r>
      <w:r w:rsidRPr="00670240" w:rsidR="00162A45">
        <w:t xml:space="preserve"> fournir des précisions sur les estimations de prix de l</w:t>
      </w:r>
      <w:r w:rsidRPr="00670240" w:rsidR="00D706CC">
        <w:t>’</w:t>
      </w:r>
      <w:r w:rsidRPr="00670240" w:rsidR="00162A45">
        <w:t>hydrogène propre qui rendraient les sub</w:t>
      </w:r>
      <w:r w:rsidRPr="00670240" w:rsidR="0097732C">
        <w:t>v</w:t>
      </w:r>
      <w:r w:rsidRPr="00670240" w:rsidR="00162A45">
        <w:t xml:space="preserve">entions inutiles et à </w:t>
      </w:r>
      <w:r w:rsidRPr="00670240" w:rsidR="00834852">
        <w:t>étudier</w:t>
      </w:r>
      <w:r w:rsidRPr="00670240">
        <w:t xml:space="preserve"> les mécanismes nécessaires pour parvenir</w:t>
      </w:r>
      <w:r w:rsidRPr="00670240" w:rsidR="00834852">
        <w:t xml:space="preserve"> à ces prix</w:t>
      </w:r>
      <w:r w:rsidRPr="00670240">
        <w:t xml:space="preserve">, notamment lors de la prochaine révision du </w:t>
      </w:r>
      <w:r w:rsidRPr="00670240" w:rsidR="0003337B">
        <w:t>s</w:t>
      </w:r>
      <w:r w:rsidRPr="00670240">
        <w:t>ystème d</w:t>
      </w:r>
      <w:r w:rsidRPr="00670240" w:rsidR="00D706CC">
        <w:t>’</w:t>
      </w:r>
      <w:r w:rsidRPr="00670240">
        <w:t>échange de quotas d</w:t>
      </w:r>
      <w:r w:rsidRPr="00670240" w:rsidR="00D706CC">
        <w:t>’</w:t>
      </w:r>
      <w:r w:rsidRPr="00670240">
        <w:t>émission de l</w:t>
      </w:r>
      <w:r w:rsidRPr="00670240" w:rsidR="00D706CC">
        <w:t>’</w:t>
      </w:r>
      <w:r w:rsidRPr="00670240">
        <w:t>UE (SEQE-UE).</w:t>
      </w:r>
    </w:p>
    <w:p w:rsidRPr="00670240" w:rsidR="00146641" w:rsidRDefault="00146641">
      <w:pPr>
        <w:pStyle w:val="ListParagraph"/>
        <w:spacing w:line="288" w:lineRule="auto"/>
        <w:ind w:left="567" w:hanging="567"/>
        <w:rPr>
          <w:rFonts w:ascii="Times New Roman" w:hAnsi="Times New Roman" w:cs="Times New Roman"/>
        </w:rPr>
      </w:pPr>
    </w:p>
    <w:p w:rsidRPr="00670240" w:rsidR="00146641" w:rsidP="00160404" w:rsidRDefault="00146641">
      <w:pPr>
        <w:pStyle w:val="Heading2"/>
        <w:keepNext/>
        <w:keepLines/>
        <w:numPr>
          <w:ilvl w:val="1"/>
          <w:numId w:val="5"/>
        </w:numPr>
        <w:overflowPunct/>
        <w:autoSpaceDE/>
        <w:autoSpaceDN/>
        <w:adjustRightInd/>
        <w:spacing w:before="40"/>
        <w:ind w:left="567" w:hanging="567"/>
        <w:textAlignment w:val="auto"/>
      </w:pPr>
      <w:r w:rsidRPr="00670240">
        <w:t>Le CESE rappelle par ailleurs que si l</w:t>
      </w:r>
      <w:r w:rsidRPr="00670240" w:rsidR="00D706CC">
        <w:t>’</w:t>
      </w:r>
      <w:r w:rsidRPr="00670240">
        <w:t>hydrogène renouvelable devra en effet pouvoir concurrencer l</w:t>
      </w:r>
      <w:r w:rsidRPr="00670240" w:rsidR="00D706CC">
        <w:t>’</w:t>
      </w:r>
      <w:r w:rsidRPr="00670240">
        <w:t>hydrogène issu de combustibles fossiles ainsi que l</w:t>
      </w:r>
      <w:r w:rsidRPr="00670240" w:rsidR="00D706CC">
        <w:t>’</w:t>
      </w:r>
      <w:r w:rsidRPr="00670240">
        <w:t>hydrogène d</w:t>
      </w:r>
      <w:r w:rsidRPr="00670240" w:rsidR="00D706CC">
        <w:t>’</w:t>
      </w:r>
      <w:r w:rsidRPr="00670240">
        <w:t>origine fossile avec capture du carbone, il devra surtout pouvoir concurrencer les énergies fossiles. Il faudra pour cela que son coût descende en dessous de 1</w:t>
      </w:r>
      <w:r w:rsidRPr="00670240" w:rsidR="00835655">
        <w:t> USD</w:t>
      </w:r>
      <w:r w:rsidRPr="00670240">
        <w:t>/kg</w:t>
      </w:r>
      <w:r w:rsidRPr="00670240">
        <w:rPr>
          <w:rStyle w:val="FootnoteReference"/>
        </w:rPr>
        <w:footnoteReference w:id="14"/>
      </w:r>
      <w:r w:rsidRPr="00670240">
        <w:t xml:space="preserve">. Réduire le coût </w:t>
      </w:r>
      <w:r w:rsidRPr="00670240" w:rsidR="0084419D">
        <w:t>d</w:t>
      </w:r>
      <w:r w:rsidRPr="00670240" w:rsidR="00D706CC">
        <w:t>’</w:t>
      </w:r>
      <w:r w:rsidRPr="00670240" w:rsidR="0084419D">
        <w:t xml:space="preserve">investissement </w:t>
      </w:r>
      <w:r w:rsidRPr="00670240">
        <w:t>(</w:t>
      </w:r>
      <w:r w:rsidRPr="00670240">
        <w:rPr>
          <w:i/>
        </w:rPr>
        <w:t>capex</w:t>
      </w:r>
      <w:r w:rsidRPr="00670240">
        <w:t>) de l</w:t>
      </w:r>
      <w:r w:rsidRPr="00670240" w:rsidR="00D706CC">
        <w:t>’</w:t>
      </w:r>
      <w:r w:rsidRPr="00670240">
        <w:t xml:space="preserve">hydrogène vert est donc un enjeu clé. Le CESE </w:t>
      </w:r>
      <w:r w:rsidRPr="00670240" w:rsidR="0084419D">
        <w:t xml:space="preserve">demande </w:t>
      </w:r>
      <w:r w:rsidRPr="00670240" w:rsidR="00242DBF">
        <w:t>expressément</w:t>
      </w:r>
      <w:r w:rsidRPr="00670240" w:rsidR="0084419D">
        <w:t xml:space="preserve"> que la </w:t>
      </w:r>
      <w:r w:rsidRPr="00670240" w:rsidR="00B934EA">
        <w:t>C</w:t>
      </w:r>
      <w:r w:rsidRPr="00670240" w:rsidR="0084419D">
        <w:t xml:space="preserve">ommission européenne </w:t>
      </w:r>
      <w:r w:rsidRPr="00670240" w:rsidR="00B934EA">
        <w:t xml:space="preserve">donne </w:t>
      </w:r>
      <w:r w:rsidRPr="00670240" w:rsidR="0084419D">
        <w:t xml:space="preserve">les </w:t>
      </w:r>
      <w:r w:rsidRPr="00670240" w:rsidR="00242DBF">
        <w:t>scénarios</w:t>
      </w:r>
      <w:r w:rsidRPr="00670240" w:rsidR="0084419D">
        <w:t xml:space="preserve"> de prix de l</w:t>
      </w:r>
      <w:r w:rsidRPr="00670240" w:rsidR="00D706CC">
        <w:t>’</w:t>
      </w:r>
      <w:r w:rsidRPr="00670240" w:rsidR="0084419D">
        <w:t xml:space="preserve">hydrogène en </w:t>
      </w:r>
      <w:r w:rsidRPr="00670240" w:rsidR="004B60BF">
        <w:t>relation avec le co</w:t>
      </w:r>
      <w:r w:rsidRPr="00670240" w:rsidR="00B934EA">
        <w:t>û</w:t>
      </w:r>
      <w:r w:rsidRPr="00670240" w:rsidR="004B60BF">
        <w:t>t des capitaux financiers mobilisés sur les projets d</w:t>
      </w:r>
      <w:r w:rsidRPr="00670240" w:rsidR="00D706CC">
        <w:t>’</w:t>
      </w:r>
      <w:r w:rsidRPr="00670240" w:rsidR="004B60BF">
        <w:t>hydrogène vert</w:t>
      </w:r>
      <w:r w:rsidRPr="00670240">
        <w:t>.</w:t>
      </w:r>
    </w:p>
    <w:p w:rsidRPr="00670240" w:rsidR="001453CE" w:rsidP="00160404" w:rsidRDefault="001453CE"/>
    <w:p w:rsidRPr="00670240" w:rsidR="00146641" w:rsidRDefault="00146641">
      <w:pPr>
        <w:pStyle w:val="Heading2"/>
        <w:keepNext/>
        <w:keepLines/>
        <w:numPr>
          <w:ilvl w:val="1"/>
          <w:numId w:val="5"/>
        </w:numPr>
        <w:overflowPunct/>
        <w:autoSpaceDE/>
        <w:autoSpaceDN/>
        <w:adjustRightInd/>
        <w:spacing w:before="40"/>
        <w:ind w:left="567" w:hanging="567"/>
        <w:textAlignment w:val="auto"/>
        <w:rPr>
          <w:b/>
        </w:rPr>
      </w:pPr>
      <w:r w:rsidRPr="00670240">
        <w:t>Le CESE rappelle par ailleurs que les tentatives passées pour relancer une «économie de l</w:t>
      </w:r>
      <w:r w:rsidRPr="00670240" w:rsidR="00D706CC">
        <w:t>’</w:t>
      </w:r>
      <w:r w:rsidRPr="00670240">
        <w:t>hydrogène» ont échoué, principalement parce que la demande d</w:t>
      </w:r>
      <w:r w:rsidRPr="00670240" w:rsidR="00D706CC">
        <w:t>’</w:t>
      </w:r>
      <w:r w:rsidRPr="00670240">
        <w:t>hydrogène ne s</w:t>
      </w:r>
      <w:r w:rsidRPr="00670240" w:rsidR="00D706CC">
        <w:t>’</w:t>
      </w:r>
      <w:r w:rsidRPr="00670240">
        <w:t>est jamais matérialisée. C</w:t>
      </w:r>
      <w:r w:rsidRPr="00670240" w:rsidR="00D706CC">
        <w:t>’</w:t>
      </w:r>
      <w:r w:rsidRPr="00670240">
        <w:t>est pourquoi le CESE se félicite que la Commission définisse clairement les secteurs d</w:t>
      </w:r>
      <w:r w:rsidRPr="00670240" w:rsidR="00D706CC">
        <w:t>’</w:t>
      </w:r>
      <w:r w:rsidRPr="00670240">
        <w:t>utilisation finale qui devront utiliser l</w:t>
      </w:r>
      <w:r w:rsidRPr="00670240" w:rsidR="00D706CC">
        <w:t>’</w:t>
      </w:r>
      <w:r w:rsidRPr="00670240">
        <w:t xml:space="preserve">hydrogène: </w:t>
      </w:r>
      <w:r w:rsidRPr="00670240" w:rsidR="00835655">
        <w:t>l</w:t>
      </w:r>
      <w:r w:rsidRPr="00670240" w:rsidR="00D706CC">
        <w:t>’</w:t>
      </w:r>
      <w:r w:rsidRPr="00670240">
        <w:t>industrie et certains modes de transport</w:t>
      </w:r>
      <w:r w:rsidRPr="00670240" w:rsidR="00A5750A">
        <w:t xml:space="preserve"> </w:t>
      </w:r>
      <w:r w:rsidRPr="00670240" w:rsidR="0084419D">
        <w:t>ainsi que</w:t>
      </w:r>
      <w:r w:rsidRPr="00670240" w:rsidR="00A5750A">
        <w:t xml:space="preserve"> </w:t>
      </w:r>
      <w:r w:rsidRPr="00670240" w:rsidR="0084419D">
        <w:t>la filière du</w:t>
      </w:r>
      <w:r w:rsidRPr="00670240" w:rsidR="00A5750A">
        <w:t xml:space="preserve"> stockage stationnaire de l</w:t>
      </w:r>
      <w:r w:rsidRPr="00670240" w:rsidR="00D706CC">
        <w:t>’</w:t>
      </w:r>
      <w:r w:rsidRPr="00670240" w:rsidR="0084419D">
        <w:t xml:space="preserve">électricité, </w:t>
      </w:r>
      <w:r w:rsidRPr="00670240" w:rsidR="00A5750A">
        <w:t>en renfort du stockage par batterie</w:t>
      </w:r>
      <w:r w:rsidRPr="00670240">
        <w:t>.</w:t>
      </w:r>
    </w:p>
    <w:p w:rsidRPr="00670240" w:rsidR="00146641" w:rsidRDefault="00146641">
      <w:pPr>
        <w:pStyle w:val="Heading2"/>
        <w:numPr>
          <w:ilvl w:val="0"/>
          <w:numId w:val="0"/>
        </w:numPr>
        <w:rPr>
          <w:b/>
        </w:rPr>
      </w:pPr>
    </w:p>
    <w:p w:rsidRPr="00670240" w:rsidR="00146641" w:rsidRDefault="00146641">
      <w:pPr>
        <w:pStyle w:val="Heading2"/>
        <w:keepNext/>
        <w:keepLines/>
        <w:numPr>
          <w:ilvl w:val="1"/>
          <w:numId w:val="5"/>
        </w:numPr>
        <w:overflowPunct/>
        <w:autoSpaceDE/>
        <w:autoSpaceDN/>
        <w:adjustRightInd/>
        <w:spacing w:before="40"/>
        <w:ind w:left="567" w:hanging="567"/>
        <w:textAlignment w:val="auto"/>
      </w:pPr>
      <w:r w:rsidRPr="00670240">
        <w:t>L</w:t>
      </w:r>
      <w:r w:rsidRPr="00670240" w:rsidR="00D706CC">
        <w:t>’</w:t>
      </w:r>
      <w:r w:rsidRPr="00670240">
        <w:t xml:space="preserve">hydrogène </w:t>
      </w:r>
      <w:r w:rsidRPr="00670240" w:rsidR="00162A45">
        <w:t xml:space="preserve">propre </w:t>
      </w:r>
      <w:r w:rsidRPr="00670240" w:rsidR="00220D36">
        <w:t>devrait</w:t>
      </w:r>
      <w:r w:rsidRPr="00670240">
        <w:t xml:space="preserve"> donc être utilis</w:t>
      </w:r>
      <w:r w:rsidRPr="00670240" w:rsidR="00220D36">
        <w:t>é</w:t>
      </w:r>
      <w:r w:rsidRPr="00670240">
        <w:t xml:space="preserve"> dans les seuls cas où d</w:t>
      </w:r>
      <w:r w:rsidRPr="00670240" w:rsidR="00D706CC">
        <w:t>’</w:t>
      </w:r>
      <w:r w:rsidRPr="00670240">
        <w:t>autres options existantes de décarbonation ne sont pas possibles</w:t>
      </w:r>
      <w:r w:rsidRPr="00670240" w:rsidR="00162A45">
        <w:t xml:space="preserve"> et</w:t>
      </w:r>
      <w:r w:rsidRPr="00670240">
        <w:t xml:space="preserve"> </w:t>
      </w:r>
      <w:r w:rsidRPr="00670240" w:rsidR="0097732C">
        <w:t xml:space="preserve">le CESE </w:t>
      </w:r>
      <w:r w:rsidRPr="00670240">
        <w:t>invite la Commission à concentrer les investissements sur les applications où l</w:t>
      </w:r>
      <w:r w:rsidRPr="00670240" w:rsidR="00D706CC">
        <w:t>’</w:t>
      </w:r>
      <w:r w:rsidRPr="00670240" w:rsidR="00167731">
        <w:t>h</w:t>
      </w:r>
      <w:r w:rsidRPr="00670240">
        <w:t>ydrogène peut jouer un rôle majeur, comme</w:t>
      </w:r>
      <w:r w:rsidRPr="00670240" w:rsidR="00124E9F">
        <w:t xml:space="preserve"> l</w:t>
      </w:r>
      <w:r w:rsidRPr="00670240" w:rsidR="00D706CC">
        <w:t>’</w:t>
      </w:r>
      <w:r w:rsidRPr="00670240" w:rsidR="00124E9F">
        <w:t>industrie,</w:t>
      </w:r>
      <w:r w:rsidRPr="00670240">
        <w:t xml:space="preserve"> </w:t>
      </w:r>
      <w:r w:rsidRPr="00670240" w:rsidR="004B60BF">
        <w:t>la mobilité (</w:t>
      </w:r>
      <w:r w:rsidRPr="00670240">
        <w:t>le maritime</w:t>
      </w:r>
      <w:r w:rsidRPr="00670240" w:rsidR="004B60BF">
        <w:t xml:space="preserve">, </w:t>
      </w:r>
      <w:r w:rsidRPr="00670240">
        <w:t>l</w:t>
      </w:r>
      <w:r w:rsidRPr="00670240" w:rsidR="00D706CC">
        <w:t>’</w:t>
      </w:r>
      <w:r w:rsidRPr="00670240">
        <w:t>aviation</w:t>
      </w:r>
      <w:r w:rsidRPr="00670240" w:rsidR="00162A45">
        <w:t xml:space="preserve">) </w:t>
      </w:r>
      <w:r w:rsidRPr="00670240" w:rsidR="004B60BF">
        <w:t>et le stockage issu des énergies renouvelables</w:t>
      </w:r>
      <w:r w:rsidRPr="00670240">
        <w:t xml:space="preserve">. Partout où les batteries sont </w:t>
      </w:r>
      <w:r w:rsidRPr="00670240" w:rsidR="004B60BF">
        <w:t>opérationnelles</w:t>
      </w:r>
      <w:r w:rsidRPr="00670240">
        <w:t xml:space="preserve"> – et notamment pour les voitures, les taxis, les flottes de bus et les fourgonnettes et camions urbains mentionnés dans la stratégie </w:t>
      </w:r>
      <w:r w:rsidRPr="00670240" w:rsidR="00B934EA">
        <w:t>–</w:t>
      </w:r>
      <w:r w:rsidRPr="00670240" w:rsidR="006C3BA1">
        <w:t xml:space="preserve"> </w:t>
      </w:r>
      <w:r w:rsidRPr="00670240" w:rsidR="00124E9F">
        <w:t>l</w:t>
      </w:r>
      <w:r w:rsidRPr="00670240" w:rsidR="00D25294">
        <w:t>’</w:t>
      </w:r>
      <w:r w:rsidRPr="00670240" w:rsidR="00124E9F">
        <w:t>hydrogène est susceptible de fournir des solutions moins rentables.</w:t>
      </w:r>
      <w:r w:rsidRPr="00670240" w:rsidR="00F44AFD">
        <w:t xml:space="preserve"> </w:t>
      </w:r>
      <w:r w:rsidRPr="00670240" w:rsidR="00263295">
        <w:t>Il pourrait par ailleurs constituer l</w:t>
      </w:r>
      <w:r w:rsidRPr="00670240" w:rsidR="00D706CC">
        <w:t>’</w:t>
      </w:r>
      <w:r w:rsidRPr="00670240" w:rsidR="00263295">
        <w:t>une des options possible</w:t>
      </w:r>
      <w:r w:rsidRPr="00670240" w:rsidR="0097732C">
        <w:t>s</w:t>
      </w:r>
      <w:r w:rsidRPr="00670240" w:rsidR="00263295">
        <w:t xml:space="preserve"> pour décarbo</w:t>
      </w:r>
      <w:r w:rsidRPr="00670240" w:rsidR="0097732C">
        <w:t>n</w:t>
      </w:r>
      <w:r w:rsidRPr="00670240" w:rsidR="00263295">
        <w:t xml:space="preserve">er le fret routier </w:t>
      </w:r>
      <w:r w:rsidRPr="00670240" w:rsidR="0097732C">
        <w:t xml:space="preserve">à </w:t>
      </w:r>
      <w:r w:rsidRPr="00670240" w:rsidR="00263295">
        <w:t>longue distance</w:t>
      </w:r>
      <w:r w:rsidRPr="00670240" w:rsidR="00263295">
        <w:rPr>
          <w:rStyle w:val="FootnoteReference"/>
        </w:rPr>
        <w:footnoteReference w:id="15"/>
      </w:r>
      <w:r w:rsidRPr="00670240" w:rsidR="00263295">
        <w:t>.</w:t>
      </w:r>
    </w:p>
    <w:p w:rsidRPr="00670240" w:rsidR="00146641" w:rsidRDefault="00146641">
      <w:pPr>
        <w:pStyle w:val="Heading2"/>
        <w:numPr>
          <w:ilvl w:val="0"/>
          <w:numId w:val="0"/>
        </w:numPr>
        <w:ind w:left="567" w:hanging="567"/>
        <w:rPr>
          <w:b/>
        </w:rPr>
      </w:pPr>
    </w:p>
    <w:p w:rsidRPr="00670240" w:rsidR="004E2486" w:rsidP="00AA2C91" w:rsidRDefault="00146641">
      <w:pPr>
        <w:pStyle w:val="Heading2"/>
        <w:keepNext/>
        <w:keepLines/>
        <w:numPr>
          <w:ilvl w:val="1"/>
          <w:numId w:val="5"/>
        </w:numPr>
        <w:overflowPunct/>
        <w:autoSpaceDE/>
        <w:autoSpaceDN/>
        <w:adjustRightInd/>
        <w:spacing w:before="40"/>
        <w:ind w:left="567" w:hanging="567"/>
        <w:textAlignment w:val="auto"/>
      </w:pPr>
      <w:r w:rsidRPr="00670240">
        <w:t xml:space="preserve">La pandémie de </w:t>
      </w:r>
      <w:r w:rsidRPr="00670240" w:rsidR="00167731">
        <w:t xml:space="preserve">la </w:t>
      </w:r>
      <w:r w:rsidRPr="00670240">
        <w:t>COVID-19 a à la fois aggravé et creusé les inégalités au sein de notre société et accru la pauvreté en Europe. Il est donc nécessaire que la stratégie hydrogène pour une Europe neutre pour le climat ne laisse personne de côté. Le CESE demande donc à la Commission de suivre et d</w:t>
      </w:r>
      <w:r w:rsidRPr="00670240" w:rsidR="00D706CC">
        <w:t>’</w:t>
      </w:r>
      <w:r w:rsidRPr="00670240">
        <w:t>estimer les demandes de restructuration de l</w:t>
      </w:r>
      <w:r w:rsidRPr="00670240" w:rsidR="00D706CC">
        <w:t>’</w:t>
      </w:r>
      <w:r w:rsidRPr="00670240">
        <w:t xml:space="preserve">emploi liées à la stratégie </w:t>
      </w:r>
      <w:r w:rsidRPr="00670240" w:rsidR="00167731">
        <w:t>de l</w:t>
      </w:r>
      <w:r w:rsidRPr="00670240" w:rsidR="00D706CC">
        <w:t>’</w:t>
      </w:r>
      <w:r w:rsidRPr="00670240" w:rsidR="00167731">
        <w:t>h</w:t>
      </w:r>
      <w:r w:rsidRPr="00670240">
        <w:t>ydrogène.</w:t>
      </w:r>
    </w:p>
    <w:p w:rsidRPr="00670240" w:rsidR="00146641" w:rsidRDefault="00146641">
      <w:pPr>
        <w:ind w:left="567" w:hanging="567"/>
      </w:pPr>
    </w:p>
    <w:p w:rsidRPr="00670240" w:rsidR="00146641" w:rsidP="00160404" w:rsidRDefault="00146641">
      <w:pPr>
        <w:pStyle w:val="Heading1"/>
        <w:keepNext/>
        <w:keepLines/>
        <w:ind w:left="567" w:hanging="567"/>
        <w:rPr>
          <w:b/>
        </w:rPr>
      </w:pPr>
      <w:r w:rsidRPr="00670240">
        <w:rPr>
          <w:b/>
        </w:rPr>
        <w:t>Observations spécifiques</w:t>
      </w:r>
    </w:p>
    <w:p w:rsidRPr="00670240" w:rsidR="00263295" w:rsidP="00AA2C91" w:rsidRDefault="00263295">
      <w:pPr>
        <w:pStyle w:val="Heading2"/>
        <w:keepNext/>
        <w:keepLines/>
        <w:numPr>
          <w:ilvl w:val="0"/>
          <w:numId w:val="0"/>
        </w:numPr>
        <w:overflowPunct/>
        <w:autoSpaceDE/>
        <w:autoSpaceDN/>
        <w:adjustRightInd/>
        <w:spacing w:before="40"/>
        <w:textAlignment w:val="auto"/>
        <w:rPr>
          <w:i/>
        </w:rPr>
      </w:pPr>
    </w:p>
    <w:p w:rsidRPr="00670240" w:rsidR="00F44AFD" w:rsidRDefault="00F44AFD">
      <w:pPr>
        <w:pStyle w:val="Heading2"/>
        <w:keepNext/>
        <w:keepLines/>
        <w:numPr>
          <w:ilvl w:val="0"/>
          <w:numId w:val="0"/>
        </w:numPr>
        <w:overflowPunct/>
        <w:autoSpaceDE/>
        <w:autoSpaceDN/>
        <w:adjustRightInd/>
        <w:spacing w:before="40"/>
        <w:textAlignment w:val="auto"/>
        <w:rPr>
          <w:i/>
        </w:rPr>
      </w:pPr>
      <w:r w:rsidRPr="00670240">
        <w:rPr>
          <w:i/>
        </w:rPr>
        <w:t>La dimension sociale</w:t>
      </w:r>
    </w:p>
    <w:p w:rsidRPr="00670240" w:rsidR="00F44AFD" w:rsidP="00AA2C91" w:rsidRDefault="00F44AFD">
      <w:pPr>
        <w:keepNext/>
      </w:pPr>
    </w:p>
    <w:p w:rsidRPr="00670240" w:rsidR="00F44AFD" w:rsidP="00160404" w:rsidRDefault="00F44AFD">
      <w:pPr>
        <w:pStyle w:val="Heading2"/>
      </w:pPr>
      <w:r w:rsidRPr="00670240">
        <w:t>En raison de la pandémie d</w:t>
      </w:r>
      <w:r w:rsidRPr="00670240" w:rsidR="00472511">
        <w:t>e</w:t>
      </w:r>
      <w:r w:rsidRPr="00670240">
        <w:t xml:space="preserve"> C</w:t>
      </w:r>
      <w:r w:rsidRPr="00670240" w:rsidR="00472511">
        <w:t>OVID-</w:t>
      </w:r>
      <w:r w:rsidRPr="00670240">
        <w:t>19 et de la crise qui en résulte, le chômage devrait atteindre 9 % dans l</w:t>
      </w:r>
      <w:r w:rsidRPr="00670240" w:rsidR="00D706CC">
        <w:t>’</w:t>
      </w:r>
      <w:r w:rsidRPr="00670240">
        <w:t>Union européenne, et frapper tout particulièrement les jeunes et les travailleurs peu qualifiés. Le CESE souligne donc l</w:t>
      </w:r>
      <w:r w:rsidRPr="00670240" w:rsidR="00D706CC">
        <w:t>’</w:t>
      </w:r>
      <w:r w:rsidRPr="00670240">
        <w:t>importance d</w:t>
      </w:r>
      <w:r w:rsidRPr="00670240" w:rsidR="00D706CC">
        <w:t>’</w:t>
      </w:r>
      <w:r w:rsidRPr="00670240">
        <w:t>assurer une formation de qualité aux travailleurs et la nécessité de rendre le secteur de l</w:t>
      </w:r>
      <w:r w:rsidRPr="00670240" w:rsidR="00D706CC">
        <w:t>’</w:t>
      </w:r>
      <w:r w:rsidRPr="00670240">
        <w:t>énergie plus attractif pour les jeunes Européens. À cette fin, l</w:t>
      </w:r>
      <w:r w:rsidRPr="00670240" w:rsidR="00D706CC">
        <w:t>’</w:t>
      </w:r>
      <w:r w:rsidRPr="00670240">
        <w:t>Union européenne peut créer des centres européens d</w:t>
      </w:r>
      <w:r w:rsidRPr="00670240" w:rsidR="00D706CC">
        <w:t>’</w:t>
      </w:r>
      <w:r w:rsidRPr="00670240">
        <w:t>excellence pour les apprentis dans des emplois spécifiques à la transition énergétique (par exemple les audits énergétiques, l</w:t>
      </w:r>
      <w:r w:rsidRPr="00670240" w:rsidR="00D706CC">
        <w:t>’</w:t>
      </w:r>
      <w:r w:rsidRPr="00670240">
        <w:t>installation de pompes à chaleur). Par l</w:t>
      </w:r>
      <w:r w:rsidRPr="00670240" w:rsidR="00D706CC">
        <w:t>’</w:t>
      </w:r>
      <w:r w:rsidRPr="00670240">
        <w:t>octroi de subventions et l</w:t>
      </w:r>
      <w:r w:rsidRPr="00670240" w:rsidR="00D706CC">
        <w:t>’</w:t>
      </w:r>
      <w:r w:rsidRPr="00670240">
        <w:t>élargissement du programme ErasmusPro, l</w:t>
      </w:r>
      <w:r w:rsidRPr="00670240" w:rsidR="00D706CC">
        <w:t>’</w:t>
      </w:r>
      <w:r w:rsidRPr="00670240">
        <w:t>UE peut faire des jeunes Européens des acteurs clés de la transition énergétique, notamment dans le domaine de l</w:t>
      </w:r>
      <w:r w:rsidRPr="00670240" w:rsidR="00D706CC">
        <w:t>’</w:t>
      </w:r>
      <w:r w:rsidRPr="00670240">
        <w:t>hydrogène propre.</w:t>
      </w:r>
    </w:p>
    <w:p w:rsidRPr="00670240" w:rsidR="00F44AFD" w:rsidRDefault="00F44AFD"/>
    <w:p w:rsidRPr="00670240" w:rsidR="00F44AFD" w:rsidP="00160404" w:rsidRDefault="00F44AFD">
      <w:pPr>
        <w:pStyle w:val="Heading2"/>
      </w:pPr>
      <w:r w:rsidRPr="00670240">
        <w:t>Favoriser la création d</w:t>
      </w:r>
      <w:r w:rsidRPr="00670240" w:rsidR="00D706CC">
        <w:t>’</w:t>
      </w:r>
      <w:r w:rsidRPr="00670240">
        <w:t xml:space="preserve">emplois </w:t>
      </w:r>
      <w:r w:rsidRPr="00670240" w:rsidR="00735944">
        <w:t>grâce</w:t>
      </w:r>
      <w:r w:rsidRPr="00670240">
        <w:t xml:space="preserve"> au déploiement de l</w:t>
      </w:r>
      <w:r w:rsidRPr="00670240" w:rsidR="00D706CC">
        <w:t>’</w:t>
      </w:r>
      <w:r w:rsidRPr="00670240">
        <w:t xml:space="preserve">hydrogène renouvelable implique de soutenir les petites et moyennes entreprises </w:t>
      </w:r>
      <w:r w:rsidRPr="00670240" w:rsidR="00735944">
        <w:t xml:space="preserve">(PME) </w:t>
      </w:r>
      <w:r w:rsidRPr="00670240">
        <w:t xml:space="preserve">européennes, qui contribuent </w:t>
      </w:r>
      <w:r w:rsidRPr="00670240" w:rsidR="006448CA">
        <w:t xml:space="preserve">à </w:t>
      </w:r>
      <w:r w:rsidRPr="00670240">
        <w:t xml:space="preserve">près de deux tiers de </w:t>
      </w:r>
      <w:r w:rsidRPr="00670240" w:rsidR="00735944">
        <w:t>l</w:t>
      </w:r>
      <w:r w:rsidRPr="00670240" w:rsidR="00D25294">
        <w:t>’</w:t>
      </w:r>
      <w:r w:rsidRPr="00670240" w:rsidR="00735944">
        <w:t xml:space="preserve">emploi </w:t>
      </w:r>
      <w:r w:rsidRPr="00670240">
        <w:t>dans le secteur privé non</w:t>
      </w:r>
      <w:r w:rsidR="00034135">
        <w:t xml:space="preserve"> </w:t>
      </w:r>
      <w:r w:rsidRPr="00670240">
        <w:t>financier européen</w:t>
      </w:r>
      <w:r w:rsidRPr="00670240">
        <w:rPr>
          <w:vertAlign w:val="superscript"/>
        </w:rPr>
        <w:footnoteReference w:id="16"/>
      </w:r>
      <w:r w:rsidRPr="00670240">
        <w:t>. Le CESE in</w:t>
      </w:r>
      <w:r w:rsidRPr="00670240" w:rsidR="00735944">
        <w:t>v</w:t>
      </w:r>
      <w:r w:rsidRPr="00670240">
        <w:t xml:space="preserve">ite la </w:t>
      </w:r>
      <w:r w:rsidRPr="00670240" w:rsidR="00735944">
        <w:t>C</w:t>
      </w:r>
      <w:r w:rsidRPr="00670240">
        <w:t>ommission à développer des outils financiers spécifiques pour les soutenir</w:t>
      </w:r>
      <w:r w:rsidRPr="00670240">
        <w:rPr>
          <w:rStyle w:val="FootnoteReference"/>
        </w:rPr>
        <w:footnoteReference w:id="17"/>
      </w:r>
      <w:r w:rsidRPr="00670240">
        <w:t>.</w:t>
      </w:r>
    </w:p>
    <w:p w:rsidRPr="00670240" w:rsidR="00F44AFD" w:rsidRDefault="00F44AFD"/>
    <w:p w:rsidRPr="00670240" w:rsidR="00F44AFD" w:rsidP="00160404" w:rsidRDefault="00F44AFD">
      <w:pPr>
        <w:pStyle w:val="Heading2"/>
      </w:pPr>
      <w:r w:rsidRPr="00670240">
        <w:t>Le CESE note par ailleurs qu</w:t>
      </w:r>
      <w:r w:rsidRPr="00670240" w:rsidR="00D706CC">
        <w:t>’</w:t>
      </w:r>
      <w:r w:rsidRPr="00670240">
        <w:t>améliorer la compétitivité de l</w:t>
      </w:r>
      <w:r w:rsidRPr="00670240" w:rsidR="00D706CC">
        <w:t>’</w:t>
      </w:r>
      <w:r w:rsidRPr="00670240">
        <w:t>UE et renforcer sa résilience nécessite de conserver le contrôle des actifs et des industries de l</w:t>
      </w:r>
      <w:r w:rsidRPr="00670240" w:rsidR="00D706CC">
        <w:t>’</w:t>
      </w:r>
      <w:r w:rsidRPr="00670240">
        <w:t>UE</w:t>
      </w:r>
      <w:r w:rsidRPr="00670240" w:rsidR="00263295">
        <w:t xml:space="preserve"> et faire front contre </w:t>
      </w:r>
      <w:r w:rsidRPr="00670240" w:rsidR="00220D36">
        <w:t>l</w:t>
      </w:r>
      <w:r w:rsidRPr="00670240" w:rsidR="00263295">
        <w:t>e dum</w:t>
      </w:r>
      <w:r w:rsidRPr="00670240" w:rsidR="00220D36">
        <w:t>p</w:t>
      </w:r>
      <w:r w:rsidRPr="00670240" w:rsidR="00263295">
        <w:t>ing industriel provenant d</w:t>
      </w:r>
      <w:r w:rsidRPr="00670240" w:rsidR="00D706CC">
        <w:t>’</w:t>
      </w:r>
      <w:r w:rsidRPr="00670240" w:rsidR="00263295">
        <w:t>autres régions</w:t>
      </w:r>
      <w:r w:rsidRPr="00670240" w:rsidR="00220D36">
        <w:t xml:space="preserve"> du monde</w:t>
      </w:r>
      <w:r w:rsidRPr="00670240">
        <w:t>.</w:t>
      </w:r>
    </w:p>
    <w:p w:rsidRPr="00670240" w:rsidR="00F44AFD" w:rsidRDefault="00F44AFD"/>
    <w:p w:rsidRPr="00670240" w:rsidR="00F44AFD" w:rsidP="00160404" w:rsidRDefault="00F44AFD">
      <w:pPr>
        <w:pStyle w:val="Heading2"/>
      </w:pPr>
      <w:r w:rsidRPr="00670240">
        <w:t>Enfin, le CESE appelle l</w:t>
      </w:r>
      <w:r w:rsidRPr="00670240" w:rsidR="00D706CC">
        <w:t>’</w:t>
      </w:r>
      <w:r w:rsidRPr="00670240">
        <w:t xml:space="preserve">UE à tirer pleinement parti des nouveaux </w:t>
      </w:r>
      <w:r w:rsidRPr="00670240" w:rsidR="00203DED">
        <w:t>modèles d</w:t>
      </w:r>
      <w:r w:rsidRPr="00670240" w:rsidR="00D706CC">
        <w:t>’</w:t>
      </w:r>
      <w:r w:rsidRPr="00670240" w:rsidR="00203DED">
        <w:t xml:space="preserve">entreprise </w:t>
      </w:r>
      <w:r w:rsidRPr="00670240">
        <w:t xml:space="preserve">plus durables, fondés sur </w:t>
      </w:r>
      <w:r w:rsidRPr="00670240" w:rsidR="00203DED">
        <w:t xml:space="preserve">le </w:t>
      </w:r>
      <w:r w:rsidRPr="00670240">
        <w:t>dialogue entre toutes les parties prenantes, notamment par le biais d</w:t>
      </w:r>
      <w:r w:rsidRPr="00670240" w:rsidR="00D706CC">
        <w:t>’</w:t>
      </w:r>
      <w:r w:rsidRPr="00670240">
        <w:t>une forte implication des travailleurs dans la stratégie des entreprises</w:t>
      </w:r>
      <w:r w:rsidRPr="00670240">
        <w:rPr>
          <w:rStyle w:val="FootnoteReference"/>
        </w:rPr>
        <w:footnoteReference w:id="18"/>
      </w:r>
      <w:r w:rsidRPr="00670240">
        <w:t>.</w:t>
      </w:r>
    </w:p>
    <w:p w:rsidRPr="00670240" w:rsidR="00146641" w:rsidP="00AA2C91" w:rsidRDefault="00146641">
      <w:pPr>
        <w:ind w:left="567" w:hanging="567"/>
      </w:pPr>
    </w:p>
    <w:p w:rsidRPr="00670240" w:rsidR="00146641" w:rsidRDefault="00146641">
      <w:pPr>
        <w:pStyle w:val="Heading2"/>
        <w:keepNext/>
        <w:keepLines/>
        <w:numPr>
          <w:ilvl w:val="0"/>
          <w:numId w:val="0"/>
        </w:numPr>
        <w:ind w:left="567" w:hanging="567"/>
        <w:rPr>
          <w:b/>
          <w:i/>
        </w:rPr>
      </w:pPr>
      <w:r w:rsidRPr="00670240">
        <w:rPr>
          <w:i/>
        </w:rPr>
        <w:t xml:space="preserve">Les besoins </w:t>
      </w:r>
      <w:r w:rsidRPr="00670240" w:rsidR="00167731">
        <w:rPr>
          <w:i/>
        </w:rPr>
        <w:t>d</w:t>
      </w:r>
      <w:r w:rsidRPr="00670240" w:rsidR="00D706CC">
        <w:rPr>
          <w:i/>
        </w:rPr>
        <w:t>’</w:t>
      </w:r>
      <w:r w:rsidRPr="00670240">
        <w:rPr>
          <w:i/>
        </w:rPr>
        <w:t>investissements dans l</w:t>
      </w:r>
      <w:r w:rsidRPr="00670240" w:rsidR="00D706CC">
        <w:rPr>
          <w:i/>
        </w:rPr>
        <w:t>’</w:t>
      </w:r>
      <w:r w:rsidRPr="00670240">
        <w:rPr>
          <w:i/>
        </w:rPr>
        <w:t>UE</w:t>
      </w:r>
    </w:p>
    <w:p w:rsidRPr="00670240" w:rsidR="00146641" w:rsidRDefault="00146641">
      <w:pPr>
        <w:keepNext/>
        <w:keepLines/>
        <w:ind w:left="567" w:hanging="567"/>
      </w:pPr>
    </w:p>
    <w:p w:rsidRPr="00670240" w:rsidR="00146641" w:rsidP="00160404" w:rsidRDefault="00146641">
      <w:pPr>
        <w:pStyle w:val="Heading2"/>
        <w:rPr>
          <w:b/>
        </w:rPr>
      </w:pPr>
      <w:r w:rsidRPr="00670240">
        <w:t xml:space="preserve">Le CESE souligne que </w:t>
      </w:r>
      <w:r w:rsidRPr="00670240" w:rsidR="00263295">
        <w:t>les fonds européens ne devraient pas soutenir les énergies fossiles et invite la Commission à appliquer l</w:t>
      </w:r>
      <w:r w:rsidRPr="00670240">
        <w:t xml:space="preserve">e principe dit du </w:t>
      </w:r>
      <w:r w:rsidRPr="00670240" w:rsidR="00167731">
        <w:t>«</w:t>
      </w:r>
      <w:r w:rsidRPr="00670240">
        <w:rPr>
          <w:i/>
        </w:rPr>
        <w:t>Do no harm</w:t>
      </w:r>
      <w:r w:rsidRPr="00670240" w:rsidR="00167731">
        <w:rPr>
          <w:i/>
        </w:rPr>
        <w:t>»</w:t>
      </w:r>
      <w:r w:rsidRPr="00670240">
        <w:t xml:space="preserve"> à tous les financements publics au titre du CFP</w:t>
      </w:r>
      <w:r w:rsidRPr="00670240" w:rsidR="00167731">
        <w:t> </w:t>
      </w:r>
      <w:r w:rsidRPr="00670240">
        <w:t xml:space="preserve">+, </w:t>
      </w:r>
      <w:r w:rsidRPr="00670240">
        <w:rPr>
          <w:i/>
        </w:rPr>
        <w:t>InvestEU</w:t>
      </w:r>
      <w:r w:rsidRPr="00670240">
        <w:t>, du fonds de relance de l</w:t>
      </w:r>
      <w:r w:rsidRPr="00670240" w:rsidR="00D706CC">
        <w:t>’</w:t>
      </w:r>
      <w:r w:rsidRPr="00670240">
        <w:t>UE et des aides d</w:t>
      </w:r>
      <w:r w:rsidRPr="00670240" w:rsidR="00D706CC">
        <w:t>’</w:t>
      </w:r>
      <w:r w:rsidRPr="00670240">
        <w:t>État.</w:t>
      </w:r>
      <w:r w:rsidRPr="00670240" w:rsidR="004B60BF">
        <w:t xml:space="preserve"> En tout état de cause, l</w:t>
      </w:r>
      <w:r w:rsidRPr="00670240" w:rsidR="00D706CC">
        <w:t>’</w:t>
      </w:r>
      <w:r w:rsidRPr="00670240" w:rsidR="004B60BF">
        <w:t xml:space="preserve">hydrogène généré à travers un procédé de CSC directement ou indirectement ne peut </w:t>
      </w:r>
      <w:r w:rsidRPr="00670240" w:rsidR="00B934EA">
        <w:t>ê</w:t>
      </w:r>
      <w:r w:rsidRPr="00670240" w:rsidR="004B60BF">
        <w:t>tre éligible à la taxonomie verte des financement</w:t>
      </w:r>
      <w:r w:rsidRPr="00670240" w:rsidR="00E0553F">
        <w:t>s</w:t>
      </w:r>
      <w:r w:rsidRPr="00670240" w:rsidR="004B60BF">
        <w:t xml:space="preserve"> européens. </w:t>
      </w:r>
    </w:p>
    <w:p w:rsidRPr="00670240" w:rsidR="00146641" w:rsidRDefault="00146641">
      <w:pPr>
        <w:ind w:left="567" w:hanging="567"/>
      </w:pPr>
    </w:p>
    <w:p w:rsidRPr="00670240" w:rsidR="00146641" w:rsidP="00160404" w:rsidRDefault="00146641">
      <w:pPr>
        <w:pStyle w:val="Heading2"/>
        <w:rPr>
          <w:b/>
        </w:rPr>
      </w:pPr>
      <w:r w:rsidRPr="00670240">
        <w:t>Le CESE accueille très favorablement que le nouveau mécanisme de relance et de résilience soutienne les investissements et les réformes des États membres qui sont essentiels pour une reprise durable, notamment dans le secteur de l</w:t>
      </w:r>
      <w:r w:rsidRPr="00670240" w:rsidR="00D706CC">
        <w:t>’</w:t>
      </w:r>
      <w:r w:rsidRPr="00670240">
        <w:t>hydrogène renouvelable. Le CESE appelle la Commission à garantir que le pacte vert européen et les plans nationaux en matière d</w:t>
      </w:r>
      <w:r w:rsidRPr="00670240" w:rsidR="00D706CC">
        <w:t>’</w:t>
      </w:r>
      <w:r w:rsidRPr="00670240">
        <w:t>énergie et de climat guident les plans de relance et de résilience des États membres. Elle doit pour cela veiller à ce que la contribution à la transition verte soit une condition sine qua non dans l</w:t>
      </w:r>
      <w:r w:rsidRPr="00670240" w:rsidR="00D706CC">
        <w:t>’</w:t>
      </w:r>
      <w:r w:rsidRPr="00670240">
        <w:t xml:space="preserve">évaluation des projets des </w:t>
      </w:r>
      <w:r w:rsidRPr="00670240" w:rsidR="00AB3612">
        <w:t>É</w:t>
      </w:r>
      <w:r w:rsidRPr="00670240">
        <w:t>tats membres.</w:t>
      </w:r>
    </w:p>
    <w:p w:rsidRPr="00670240" w:rsidR="00146641" w:rsidRDefault="00146641">
      <w:pPr>
        <w:ind w:left="567" w:hanging="567"/>
      </w:pPr>
    </w:p>
    <w:p w:rsidRPr="00670240" w:rsidR="00463071" w:rsidP="00160404" w:rsidRDefault="00146641">
      <w:pPr>
        <w:pStyle w:val="Heading2"/>
      </w:pPr>
      <w:r w:rsidRPr="00670240">
        <w:t>L</w:t>
      </w:r>
      <w:r w:rsidRPr="00670240" w:rsidR="00D706CC">
        <w:t>’</w:t>
      </w:r>
      <w:r w:rsidRPr="00670240">
        <w:t>alliance de l</w:t>
      </w:r>
      <w:r w:rsidRPr="00670240" w:rsidR="00D706CC">
        <w:t>’</w:t>
      </w:r>
      <w:r w:rsidRPr="00670240">
        <w:t>hydrogène propre jouera un rôle essentiel dans le déploiement de l</w:t>
      </w:r>
      <w:r w:rsidRPr="00670240" w:rsidR="00D706CC">
        <w:t>’</w:t>
      </w:r>
      <w:r w:rsidRPr="00670240">
        <w:t>hydrogène en Europe, notamment par l</w:t>
      </w:r>
      <w:r w:rsidRPr="00670240" w:rsidR="00D706CC">
        <w:t>’</w:t>
      </w:r>
      <w:r w:rsidRPr="00670240">
        <w:t>élaboration du programme d</w:t>
      </w:r>
      <w:r w:rsidRPr="00670240" w:rsidR="00D706CC">
        <w:t>’</w:t>
      </w:r>
      <w:r w:rsidRPr="00670240">
        <w:t>investissement et la construction du pipeline de projets</w:t>
      </w:r>
      <w:r w:rsidRPr="00670240" w:rsidR="004B60BF">
        <w:t xml:space="preserve"> régionaux, nationaux et européen</w:t>
      </w:r>
      <w:r w:rsidRPr="00670240">
        <w:t xml:space="preserve">. Le CESE souligne </w:t>
      </w:r>
      <w:r w:rsidRPr="00670240" w:rsidR="00057781">
        <w:t xml:space="preserve">donc </w:t>
      </w:r>
      <w:r w:rsidRPr="00670240">
        <w:t>l</w:t>
      </w:r>
      <w:r w:rsidRPr="00670240" w:rsidR="00D706CC">
        <w:t>’</w:t>
      </w:r>
      <w:r w:rsidRPr="00670240">
        <w:t>importance d</w:t>
      </w:r>
      <w:r w:rsidRPr="00670240" w:rsidR="00D706CC">
        <w:t>’</w:t>
      </w:r>
      <w:r w:rsidRPr="00670240">
        <w:t xml:space="preserve">y représenter équitablement </w:t>
      </w:r>
      <w:r w:rsidRPr="00670240" w:rsidR="00AB3612">
        <w:t xml:space="preserve">toutes </w:t>
      </w:r>
      <w:r w:rsidRPr="00670240">
        <w:t xml:space="preserve">les parties prenantes, y compris la société civile </w:t>
      </w:r>
      <w:r w:rsidRPr="00670240" w:rsidR="00A071D1">
        <w:t>dan</w:t>
      </w:r>
      <w:r w:rsidRPr="00670240" w:rsidR="00466FB4">
        <w:t>s</w:t>
      </w:r>
      <w:r w:rsidRPr="00670240" w:rsidR="00A071D1">
        <w:t xml:space="preserve"> toutes </w:t>
      </w:r>
      <w:r w:rsidRPr="00670240" w:rsidR="0097732C">
        <w:t>s</w:t>
      </w:r>
      <w:r w:rsidRPr="00670240" w:rsidR="00A071D1">
        <w:t>es dimensions</w:t>
      </w:r>
      <w:r w:rsidRPr="00670240" w:rsidR="00263295">
        <w:t>,</w:t>
      </w:r>
      <w:r w:rsidRPr="00670240" w:rsidR="00A071D1">
        <w:t xml:space="preserve"> les travailleurs, </w:t>
      </w:r>
      <w:r w:rsidRPr="00670240">
        <w:t>et les organisations non</w:t>
      </w:r>
      <w:r w:rsidRPr="00670240" w:rsidR="00AB3612">
        <w:t xml:space="preserve"> </w:t>
      </w:r>
      <w:r w:rsidRPr="00670240">
        <w:t>gouvernementales. En l</w:t>
      </w:r>
      <w:r w:rsidRPr="00670240" w:rsidR="00D706CC">
        <w:t>’</w:t>
      </w:r>
      <w:r w:rsidRPr="00670240">
        <w:t>état, el</w:t>
      </w:r>
      <w:r w:rsidRPr="00670240" w:rsidR="00434BA3">
        <w:t>l</w:t>
      </w:r>
      <w:r w:rsidRPr="00670240">
        <w:t>e regroupe en grande majorité des acteurs privés</w:t>
      </w:r>
      <w:r w:rsidRPr="00670240">
        <w:rPr>
          <w:rStyle w:val="FootnoteReference"/>
        </w:rPr>
        <w:footnoteReference w:id="19"/>
      </w:r>
      <w:r w:rsidRPr="00670240">
        <w:t xml:space="preserve">. Le CESE, véritable représentation de la société civile organisée, doit être </w:t>
      </w:r>
      <w:r w:rsidRPr="00670240" w:rsidR="00434BA3">
        <w:t>è</w:t>
      </w:r>
      <w:r w:rsidRPr="00670240">
        <w:t>s</w:t>
      </w:r>
      <w:r w:rsidRPr="00670240" w:rsidR="00434BA3">
        <w:t xml:space="preserve"> </w:t>
      </w:r>
      <w:r w:rsidRPr="00670240">
        <w:t>qualité</w:t>
      </w:r>
      <w:r w:rsidRPr="00670240" w:rsidR="00434BA3">
        <w:t>s</w:t>
      </w:r>
      <w:r w:rsidRPr="00670240">
        <w:t xml:space="preserve"> intégré aux réflexions et aux processus de consultations.</w:t>
      </w:r>
    </w:p>
    <w:p w:rsidRPr="00670240" w:rsidR="00146641" w:rsidRDefault="00146641"/>
    <w:p w:rsidRPr="00670240" w:rsidR="00146641" w:rsidP="00AA2C91" w:rsidRDefault="00146641">
      <w:pPr>
        <w:pStyle w:val="Heading2"/>
        <w:numPr>
          <w:ilvl w:val="0"/>
          <w:numId w:val="0"/>
        </w:numPr>
        <w:ind w:left="567" w:hanging="567"/>
        <w:rPr>
          <w:b/>
          <w:i/>
        </w:rPr>
      </w:pPr>
      <w:r w:rsidRPr="00670240">
        <w:rPr>
          <w:i/>
        </w:rPr>
        <w:t>Stimuler la demande et augmenter la production</w:t>
      </w:r>
    </w:p>
    <w:p w:rsidRPr="00670240" w:rsidR="00146641" w:rsidP="00AA2C91" w:rsidRDefault="00146641">
      <w:pPr>
        <w:keepNext/>
        <w:ind w:left="567" w:hanging="567"/>
      </w:pPr>
    </w:p>
    <w:p w:rsidRPr="00670240" w:rsidR="00053F82" w:rsidP="0025193D" w:rsidRDefault="00053F82">
      <w:pPr>
        <w:pStyle w:val="Heading2"/>
      </w:pPr>
      <w:r w:rsidRPr="00670240">
        <w:t>Le CESE est convaincu que les enchères dans le cadre des contrats carbone pour la différence (CCfD) jouent un rôle important pour garantir que les processus industriels so</w:t>
      </w:r>
      <w:r w:rsidRPr="00670240" w:rsidR="0097732C">
        <w:t>ie</w:t>
      </w:r>
      <w:r w:rsidRPr="00670240">
        <w:t>nt rapidement convertis à l</w:t>
      </w:r>
      <w:r w:rsidRPr="00670240" w:rsidR="00D25294">
        <w:t>’</w:t>
      </w:r>
      <w:r w:rsidRPr="00670240">
        <w:t xml:space="preserve">hydrogène. </w:t>
      </w:r>
      <w:r w:rsidRPr="00670240" w:rsidR="0025193D">
        <w:t xml:space="preserve">Les CCfD peuvent </w:t>
      </w:r>
      <w:r w:rsidRPr="00670240">
        <w:t>envoyer un signal positif aux investisseurs et à l</w:t>
      </w:r>
      <w:r w:rsidRPr="00670240" w:rsidR="005A3A86">
        <w:t>’</w:t>
      </w:r>
      <w:r w:rsidRPr="00670240">
        <w:t>industrie</w:t>
      </w:r>
      <w:r w:rsidRPr="00670240" w:rsidR="0025193D">
        <w:rPr>
          <w:rStyle w:val="FootnoteReference"/>
        </w:rPr>
        <w:footnoteReference w:id="20"/>
      </w:r>
      <w:r w:rsidRPr="00670240">
        <w:t xml:space="preserve">. Cependant, le CESE tient à souligner </w:t>
      </w:r>
      <w:r w:rsidRPr="00670240" w:rsidR="0097732C">
        <w:t xml:space="preserve">les </w:t>
      </w:r>
      <w:r w:rsidRPr="00670240">
        <w:t>deux points</w:t>
      </w:r>
      <w:r w:rsidRPr="00670240" w:rsidR="0097732C">
        <w:t xml:space="preserve"> suivants.</w:t>
      </w:r>
    </w:p>
    <w:p w:rsidRPr="00670240" w:rsidR="00053F82" w:rsidRDefault="00053F82">
      <w:pPr>
        <w:ind w:left="567" w:hanging="567"/>
      </w:pPr>
    </w:p>
    <w:p w:rsidRPr="00670240" w:rsidR="00053F82" w:rsidP="00160404" w:rsidRDefault="00053F82">
      <w:pPr>
        <w:pStyle w:val="Heading3"/>
      </w:pPr>
      <w:r w:rsidRPr="00670240">
        <w:t xml:space="preserve">En soulignant la pertinence du CCfD, la Commission reconnaît que le </w:t>
      </w:r>
      <w:r w:rsidRPr="00670240" w:rsidR="0097732C">
        <w:t>s</w:t>
      </w:r>
      <w:r w:rsidRPr="00670240">
        <w:t>ystème d</w:t>
      </w:r>
      <w:r w:rsidRPr="00670240" w:rsidR="00D706CC">
        <w:t>’</w:t>
      </w:r>
      <w:r w:rsidRPr="00670240">
        <w:t>échange de quotas d</w:t>
      </w:r>
      <w:r w:rsidRPr="00670240" w:rsidR="00D706CC">
        <w:t>’</w:t>
      </w:r>
      <w:r w:rsidRPr="00670240">
        <w:t>émission de l</w:t>
      </w:r>
      <w:r w:rsidRPr="00670240" w:rsidR="00D706CC">
        <w:t>’</w:t>
      </w:r>
      <w:r w:rsidRPr="00670240">
        <w:t>UE (SEQE-UE) existant n</w:t>
      </w:r>
      <w:r w:rsidRPr="00670240" w:rsidR="00D25294">
        <w:t>’</w:t>
      </w:r>
      <w:r w:rsidRPr="00670240">
        <w:t>est pas en mesure d</w:t>
      </w:r>
      <w:r w:rsidRPr="00670240" w:rsidR="00D25294">
        <w:t>’</w:t>
      </w:r>
      <w:r w:rsidRPr="00670240">
        <w:t>envoyer des signaux de prix suffisamment forts pour déclencher les investissements indiscutablement nécessaires pour atteindre la neutralité climatique. D</w:t>
      </w:r>
      <w:r w:rsidRPr="00670240" w:rsidR="00D25294">
        <w:t>’</w:t>
      </w:r>
      <w:r w:rsidRPr="00670240">
        <w:t>une part, cela tient au fait que les matières premières fossiles continuent de bénéficier de subventions élevées dans l</w:t>
      </w:r>
      <w:r w:rsidRPr="00670240" w:rsidR="00D25294">
        <w:t>’</w:t>
      </w:r>
      <w:r w:rsidRPr="00670240">
        <w:t>UE. Selon le rapport de la Commission européenne sur les subventions à l</w:t>
      </w:r>
      <w:r w:rsidRPr="00670240" w:rsidR="00D25294">
        <w:t>’</w:t>
      </w:r>
      <w:r w:rsidRPr="00670240">
        <w:t>énergie, les subventions au gaz naturel qui est utilisé pour la production de l</w:t>
      </w:r>
      <w:r w:rsidRPr="00670240" w:rsidR="00D706CC">
        <w:t>’</w:t>
      </w:r>
      <w:r w:rsidRPr="00670240">
        <w:t>hydrogène avec captage et stockage du carbone (CSC), ont en fait augmenté</w:t>
      </w:r>
      <w:r w:rsidRPr="00670240" w:rsidR="0025193D">
        <w:rPr>
          <w:rStyle w:val="FootnoteReference"/>
        </w:rPr>
        <w:footnoteReference w:id="21"/>
      </w:r>
      <w:r w:rsidRPr="00670240">
        <w:t>. Il y a donc une distorsion massive du marché qui entrave les investissements dans les technologies de protection du climat telles que l</w:t>
      </w:r>
      <w:r w:rsidRPr="00670240" w:rsidR="00D25294">
        <w:t>’</w:t>
      </w:r>
      <w:r w:rsidRPr="00670240">
        <w:t>hydrogène vert ou les rend inutilement onéreuses. De plus, même après sa réforme, l</w:t>
      </w:r>
      <w:r w:rsidRPr="00670240" w:rsidR="0097732C">
        <w:t xml:space="preserve">e SEQE-UE </w:t>
      </w:r>
      <w:r w:rsidRPr="00670240">
        <w:t>ne reflète toujours pas le vrai prix du carbone. Sans subventions pour les matières premières fossiles et avec un SEQE encore amélioré, aucun CCfD ne serait nécessaire. Par conséquent, ces deux tâches devraient être la première priorité de la Commission.</w:t>
      </w:r>
    </w:p>
    <w:p w:rsidRPr="00670240" w:rsidR="00053F82" w:rsidP="00AA2C91" w:rsidRDefault="00053F82">
      <w:pPr>
        <w:ind w:left="567" w:hanging="567"/>
      </w:pPr>
    </w:p>
    <w:p w:rsidRPr="00670240" w:rsidR="00873AAE" w:rsidP="005B08CE" w:rsidRDefault="00053F82">
      <w:pPr>
        <w:pStyle w:val="Heading3"/>
      </w:pPr>
      <w:r w:rsidRPr="00670240">
        <w:t>Dans la mesure où les CCfD sont néanmoins nécessaires, la conception de l</w:t>
      </w:r>
      <w:r w:rsidRPr="00670240" w:rsidR="00647CBC">
        <w:t>’</w:t>
      </w:r>
      <w:r w:rsidRPr="00670240">
        <w:t>appel d</w:t>
      </w:r>
      <w:r w:rsidRPr="00670240" w:rsidR="00D706CC">
        <w:t>’</w:t>
      </w:r>
      <w:r w:rsidRPr="00670240">
        <w:t xml:space="preserve">offres doit être élaborée de manière à ce que </w:t>
      </w:r>
      <w:r w:rsidRPr="00670240" w:rsidR="005B08CE">
        <w:t xml:space="preserve">la production d’hydrogène par </w:t>
      </w:r>
      <w:r w:rsidRPr="00670240">
        <w:t>électrolyse ne soit financée que si un excédent d</w:t>
      </w:r>
      <w:r w:rsidRPr="00670240" w:rsidR="00D25294">
        <w:t>’</w:t>
      </w:r>
      <w:r w:rsidRPr="00670240">
        <w:t>électricité provenant d</w:t>
      </w:r>
      <w:r w:rsidRPr="00670240" w:rsidR="00647CBC">
        <w:t>’</w:t>
      </w:r>
      <w:r w:rsidRPr="00670240">
        <w:t>énergies renouvelables est utilisé à cette fin</w:t>
      </w:r>
      <w:r w:rsidRPr="00670240">
        <w:rPr>
          <w:rStyle w:val="FootnoteReference"/>
        </w:rPr>
        <w:footnoteReference w:id="22"/>
      </w:r>
      <w:r w:rsidRPr="00670240">
        <w:t>. Le CESE souligne donc qu</w:t>
      </w:r>
      <w:r w:rsidRPr="00670240" w:rsidR="00D25294">
        <w:t>’</w:t>
      </w:r>
      <w:r w:rsidRPr="00670240">
        <w:t>un système de financement européen et des appels d</w:t>
      </w:r>
      <w:r w:rsidRPr="00670240" w:rsidR="00D25294">
        <w:t>’</w:t>
      </w:r>
      <w:r w:rsidRPr="00670240">
        <w:t>offres spécifiques pour l</w:t>
      </w:r>
      <w:r w:rsidRPr="00670240" w:rsidR="00D25294">
        <w:t>’</w:t>
      </w:r>
      <w:r w:rsidRPr="00670240">
        <w:t>hydrogène renouvelable sont essentiels pour garantir que le développement de l</w:t>
      </w:r>
      <w:r w:rsidRPr="00670240" w:rsidR="00D25294">
        <w:t>’</w:t>
      </w:r>
      <w:r w:rsidRPr="00670240">
        <w:t>hydrogène de captage et stockage du carbone fossile (CSC) ne soit pas ralenti.</w:t>
      </w:r>
    </w:p>
    <w:p w:rsidRPr="00670240" w:rsidR="00146641" w:rsidP="00AA2C91" w:rsidRDefault="00146641">
      <w:pPr>
        <w:pStyle w:val="Heading2"/>
        <w:keepNext/>
        <w:keepLines/>
        <w:numPr>
          <w:ilvl w:val="0"/>
          <w:numId w:val="0"/>
        </w:numPr>
        <w:overflowPunct/>
        <w:autoSpaceDE/>
        <w:autoSpaceDN/>
        <w:adjustRightInd/>
        <w:spacing w:before="40"/>
        <w:ind w:left="567" w:hanging="567"/>
        <w:textAlignment w:val="auto"/>
      </w:pPr>
    </w:p>
    <w:p w:rsidRPr="00670240" w:rsidR="00146641" w:rsidP="00E74706" w:rsidRDefault="00146641">
      <w:pPr>
        <w:pStyle w:val="Heading2"/>
        <w:keepNext/>
        <w:keepLines/>
        <w:numPr>
          <w:ilvl w:val="0"/>
          <w:numId w:val="0"/>
        </w:numPr>
        <w:ind w:left="567" w:hanging="567"/>
        <w:rPr>
          <w:b/>
          <w:i/>
        </w:rPr>
      </w:pPr>
      <w:r w:rsidRPr="00670240">
        <w:rPr>
          <w:i/>
        </w:rPr>
        <w:t xml:space="preserve">La dimension internationale </w:t>
      </w:r>
    </w:p>
    <w:p w:rsidRPr="00670240" w:rsidR="00146641" w:rsidP="00E74706" w:rsidRDefault="00146641">
      <w:pPr>
        <w:keepNext/>
        <w:keepLines/>
        <w:ind w:left="567" w:hanging="567"/>
      </w:pPr>
    </w:p>
    <w:p w:rsidRPr="00670240" w:rsidR="00873AAE" w:rsidP="00160404" w:rsidRDefault="00146641">
      <w:pPr>
        <w:pStyle w:val="Heading2"/>
      </w:pPr>
      <w:r w:rsidRPr="00670240">
        <w:t xml:space="preserve">Le CESE soulève des interrogations sur le </w:t>
      </w:r>
      <w:r w:rsidRPr="00670240" w:rsidR="00F67BA2">
        <w:t>type</w:t>
      </w:r>
      <w:r w:rsidRPr="00670240">
        <w:t xml:space="preserve"> de futurs partenariats énergétiques</w:t>
      </w:r>
      <w:r w:rsidRPr="00670240" w:rsidR="00F67BA2">
        <w:t xml:space="preserve"> </w:t>
      </w:r>
      <w:r w:rsidRPr="00670240">
        <w:t>visant à déployer 40</w:t>
      </w:r>
      <w:r w:rsidRPr="00670240" w:rsidR="00434BA3">
        <w:t> </w:t>
      </w:r>
      <w:r w:rsidRPr="00670240">
        <w:t>GW d</w:t>
      </w:r>
      <w:r w:rsidRPr="00670240" w:rsidR="00D706CC">
        <w:t>’</w:t>
      </w:r>
      <w:r w:rsidRPr="00670240">
        <w:t>électrolyseurs pour la production d</w:t>
      </w:r>
      <w:r w:rsidRPr="00670240" w:rsidR="00D706CC">
        <w:t>’</w:t>
      </w:r>
      <w:r w:rsidRPr="00670240">
        <w:t>hydrogène renouvelable dans le voisinage de l</w:t>
      </w:r>
      <w:r w:rsidRPr="00670240" w:rsidR="00D706CC">
        <w:t>’</w:t>
      </w:r>
      <w:r w:rsidRPr="00670240">
        <w:t>UE</w:t>
      </w:r>
      <w:r w:rsidRPr="00670240" w:rsidR="00873AAE">
        <w:rPr>
          <w:rStyle w:val="FootnoteReference"/>
        </w:rPr>
        <w:footnoteReference w:id="23"/>
      </w:r>
      <w:r w:rsidRPr="00670240" w:rsidR="00263295">
        <w:t>.</w:t>
      </w:r>
      <w:r w:rsidRPr="00670240">
        <w:t xml:space="preserve"> </w:t>
      </w:r>
      <w:r w:rsidRPr="00670240" w:rsidR="0097732C">
        <w:t>À</w:t>
      </w:r>
      <w:r w:rsidRPr="00670240" w:rsidR="00263295">
        <w:t xml:space="preserve"> </w:t>
      </w:r>
      <w:r w:rsidRPr="00670240">
        <w:t>l</w:t>
      </w:r>
      <w:r w:rsidRPr="00670240" w:rsidR="00D706CC">
        <w:t>’</w:t>
      </w:r>
      <w:r w:rsidRPr="00670240">
        <w:t xml:space="preserve">heure où les dirigeants des </w:t>
      </w:r>
      <w:r w:rsidRPr="00670240" w:rsidR="00434BA3">
        <w:t>É</w:t>
      </w:r>
      <w:r w:rsidRPr="00670240">
        <w:t>tats membres appellent à plus de souveraineté européenne</w:t>
      </w:r>
      <w:r w:rsidRPr="00670240" w:rsidR="00263295">
        <w:t>, le CESE invite la Commiss</w:t>
      </w:r>
      <w:r w:rsidRPr="00670240" w:rsidR="00E0553F">
        <w:t>i</w:t>
      </w:r>
      <w:r w:rsidRPr="00670240" w:rsidR="00263295">
        <w:t xml:space="preserve">on à </w:t>
      </w:r>
      <w:r w:rsidRPr="00670240" w:rsidR="00E0553F">
        <w:t>développer</w:t>
      </w:r>
      <w:r w:rsidRPr="00670240" w:rsidR="00263295">
        <w:t xml:space="preserve"> une approche cohérente</w:t>
      </w:r>
      <w:r w:rsidRPr="00670240">
        <w:t>.</w:t>
      </w:r>
    </w:p>
    <w:p w:rsidRPr="00670240" w:rsidR="00873AAE" w:rsidRDefault="00873AAE">
      <w:pPr>
        <w:pStyle w:val="Heading3"/>
        <w:numPr>
          <w:ilvl w:val="0"/>
          <w:numId w:val="0"/>
        </w:numPr>
        <w:overflowPunct/>
        <w:adjustRightInd/>
        <w:ind w:left="567"/>
        <w:textAlignment w:val="auto"/>
      </w:pPr>
    </w:p>
    <w:p w:rsidRPr="00670240" w:rsidR="00146641" w:rsidP="00160404" w:rsidRDefault="00057781">
      <w:pPr>
        <w:pStyle w:val="Heading2"/>
      </w:pPr>
      <w:r w:rsidRPr="00670240">
        <w:t xml:space="preserve">Le CESE souligne également la difficulté </w:t>
      </w:r>
      <w:r w:rsidRPr="00670240" w:rsidR="00B524FA">
        <w:t>d</w:t>
      </w:r>
      <w:r w:rsidRPr="00670240" w:rsidR="00D706CC">
        <w:t>’</w:t>
      </w:r>
      <w:r w:rsidRPr="00670240">
        <w:t xml:space="preserve">attirer des investisseurs européens dans des pays politiquement instables. </w:t>
      </w:r>
      <w:r w:rsidRPr="00670240" w:rsidR="00873AAE">
        <w:t>Le CESE recommande</w:t>
      </w:r>
      <w:r w:rsidRPr="00670240">
        <w:t xml:space="preserve"> néanmoins</w:t>
      </w:r>
      <w:r w:rsidRPr="00670240" w:rsidR="00873AAE">
        <w:t xml:space="preserve"> que les pays</w:t>
      </w:r>
      <w:r w:rsidRPr="00670240" w:rsidR="00C14D6A">
        <w:t xml:space="preserve"> des </w:t>
      </w:r>
      <w:r w:rsidRPr="00670240" w:rsidR="00B524FA">
        <w:t>B</w:t>
      </w:r>
      <w:r w:rsidRPr="00670240" w:rsidR="00C14D6A">
        <w:t>alkans occidentaux</w:t>
      </w:r>
      <w:r w:rsidRPr="00670240" w:rsidR="00873AAE">
        <w:t xml:space="preserve"> </w:t>
      </w:r>
      <w:r w:rsidRPr="00670240" w:rsidR="00C14D6A">
        <w:t xml:space="preserve">engagés </w:t>
      </w:r>
      <w:r w:rsidRPr="00670240" w:rsidR="00873AAE">
        <w:t>dans le processus d</w:t>
      </w:r>
      <w:r w:rsidRPr="00670240" w:rsidR="00D706CC">
        <w:t>’</w:t>
      </w:r>
      <w:r w:rsidRPr="00670240" w:rsidR="00873AAE">
        <w:t>adhésion à l</w:t>
      </w:r>
      <w:r w:rsidRPr="00670240" w:rsidR="00D706CC">
        <w:t>’</w:t>
      </w:r>
      <w:r w:rsidRPr="00670240" w:rsidR="00873AAE">
        <w:t>UE</w:t>
      </w:r>
      <w:r w:rsidRPr="00670240" w:rsidR="00C14D6A">
        <w:t xml:space="preserve"> </w:t>
      </w:r>
      <w:r w:rsidRPr="00670240" w:rsidR="00202B88">
        <w:t>soient inclus dans tou</w:t>
      </w:r>
      <w:r w:rsidRPr="00670240" w:rsidR="00B524FA">
        <w:t>t</w:t>
      </w:r>
      <w:r w:rsidRPr="00670240" w:rsidR="00202B88">
        <w:t xml:space="preserve">es </w:t>
      </w:r>
      <w:r w:rsidRPr="00670240" w:rsidR="00B524FA">
        <w:t xml:space="preserve">les </w:t>
      </w:r>
      <w:r w:rsidRPr="00670240" w:rsidR="00242DBF">
        <w:t>réflexions</w:t>
      </w:r>
      <w:r w:rsidRPr="00670240" w:rsidR="00C14D6A">
        <w:t xml:space="preserve"> et </w:t>
      </w:r>
      <w:r w:rsidRPr="00670240" w:rsidR="00202B88">
        <w:t>a</w:t>
      </w:r>
      <w:r w:rsidRPr="00670240" w:rsidR="00C14D6A">
        <w:t>ction</w:t>
      </w:r>
      <w:r w:rsidRPr="00670240" w:rsidR="00202B88">
        <w:t>s</w:t>
      </w:r>
      <w:r w:rsidRPr="00670240" w:rsidR="00C14D6A">
        <w:t xml:space="preserve"> de mise en </w:t>
      </w:r>
      <w:r w:rsidRPr="00670240" w:rsidR="00242DBF">
        <w:t>œuvre</w:t>
      </w:r>
      <w:r w:rsidRPr="00670240" w:rsidR="00873AAE">
        <w:t xml:space="preserve"> de la stratégie hydrogène.</w:t>
      </w:r>
    </w:p>
    <w:p w:rsidRPr="00670240" w:rsidR="00146641" w:rsidRDefault="00146641">
      <w:pPr>
        <w:ind w:left="567" w:hanging="567"/>
      </w:pPr>
    </w:p>
    <w:p w:rsidRPr="00670240" w:rsidR="00146641" w:rsidP="00160404" w:rsidRDefault="00146641">
      <w:pPr>
        <w:pStyle w:val="Heading2"/>
      </w:pPr>
      <w:r w:rsidRPr="00670240">
        <w:t>Par ailleurs, le CESE appelle la Commission à fournir plus de précisions sur les capacités de ces pays à développer ces futurs partenariats, car la stratégie inclut actuellement des pays aussi variés que l</w:t>
      </w:r>
      <w:r w:rsidRPr="00670240" w:rsidR="00D706CC">
        <w:t>’</w:t>
      </w:r>
      <w:r w:rsidRPr="00670240">
        <w:t>Algérie, l</w:t>
      </w:r>
      <w:r w:rsidRPr="00670240" w:rsidR="00D706CC">
        <w:t>’</w:t>
      </w:r>
      <w:r w:rsidRPr="00670240">
        <w:t xml:space="preserve">Égypte, Israël, la Jordanie, le Liban, la Libye, le Maroc, </w:t>
      </w:r>
      <w:r w:rsidRPr="00670240" w:rsidR="00434BA3">
        <w:t xml:space="preserve">la </w:t>
      </w:r>
      <w:r w:rsidRPr="00670240">
        <w:t>Palestine</w:t>
      </w:r>
      <w:r w:rsidRPr="00670240" w:rsidR="00642E99">
        <w:rPr>
          <w:rStyle w:val="FootnoteReference"/>
        </w:rPr>
        <w:footnoteReference w:id="24"/>
      </w:r>
      <w:r w:rsidRPr="00670240">
        <w:t>, la Syrie et la Tunisie, avec des politiques de transition énergétique et de développement des énergies renouvelables très différentes.</w:t>
      </w:r>
      <w:r w:rsidRPr="00670240" w:rsidR="00422BF4">
        <w:t xml:space="preserve"> Dans ces pays, les dispositifs d</w:t>
      </w:r>
      <w:r w:rsidRPr="00670240" w:rsidR="00D706CC">
        <w:t>’</w:t>
      </w:r>
      <w:r w:rsidRPr="00670240" w:rsidR="00422BF4">
        <w:t xml:space="preserve">accompagnement financier </w:t>
      </w:r>
      <w:r w:rsidRPr="00670240" w:rsidR="00071BC2">
        <w:t>des PME</w:t>
      </w:r>
      <w:r w:rsidRPr="00670240" w:rsidR="00422BF4">
        <w:t xml:space="preserve"> recommandés par le CESE sont aussi à privilégier</w:t>
      </w:r>
      <w:r w:rsidRPr="00670240" w:rsidR="00383B41">
        <w:t>,</w:t>
      </w:r>
      <w:r w:rsidRPr="00670240" w:rsidR="00422BF4">
        <w:t xml:space="preserve"> au regard du fort taux de PME dans ces pays et de la forte intermédiation bancaire</w:t>
      </w:r>
      <w:r w:rsidRPr="00670240" w:rsidR="00873AAE">
        <w:t>.</w:t>
      </w:r>
    </w:p>
    <w:p w:rsidRPr="00670240" w:rsidR="004F21BF" w:rsidP="00160404" w:rsidRDefault="004F21BF"/>
    <w:p w:rsidRPr="00670240" w:rsidR="00146641" w:rsidP="00160404" w:rsidRDefault="00146641">
      <w:pPr>
        <w:pStyle w:val="Heading2"/>
      </w:pPr>
      <w:r w:rsidRPr="00670240">
        <w:t>Le CESE s</w:t>
      </w:r>
      <w:r w:rsidRPr="00670240" w:rsidR="00D706CC">
        <w:t>’</w:t>
      </w:r>
      <w:r w:rsidRPr="00670240">
        <w:t>interroge en effet sur la capacité de ces pays à déployer suffisamment d</w:t>
      </w:r>
      <w:r w:rsidRPr="00670240" w:rsidR="00D706CC">
        <w:t>’</w:t>
      </w:r>
      <w:r w:rsidRPr="00670240">
        <w:t>électrolyseurs pour la production d</w:t>
      </w:r>
      <w:r w:rsidRPr="00670240" w:rsidR="00D706CC">
        <w:t>’</w:t>
      </w:r>
      <w:r w:rsidRPr="00670240">
        <w:t>hydrogène renouvelable pour satisfaire la demande européenne en plus de leur demande domestique. En Afrique du Nord et en Ukraine, déployer 40</w:t>
      </w:r>
      <w:r w:rsidRPr="00670240" w:rsidR="00434BA3">
        <w:t> </w:t>
      </w:r>
      <w:r w:rsidRPr="00670240">
        <w:t>GW nécessiterait en effet 76</w:t>
      </w:r>
      <w:r w:rsidRPr="00670240" w:rsidR="00434BA3">
        <w:t> </w:t>
      </w:r>
      <w:r w:rsidRPr="00670240">
        <w:t>GW d</w:t>
      </w:r>
      <w:r w:rsidRPr="00670240" w:rsidR="00D706CC">
        <w:t>’</w:t>
      </w:r>
      <w:r w:rsidRPr="00670240">
        <w:t>énergies renouvelables d</w:t>
      </w:r>
      <w:r w:rsidRPr="00670240" w:rsidR="00D706CC">
        <w:t>’</w:t>
      </w:r>
      <w:r w:rsidRPr="00670240">
        <w:t>ici</w:t>
      </w:r>
      <w:r w:rsidRPr="00670240" w:rsidR="00BC7344">
        <w:t> </w:t>
      </w:r>
      <w:r w:rsidRPr="00670240">
        <w:t>2030, ce qui implique un triplement de la capacité dans ces pays en 10</w:t>
      </w:r>
      <w:r w:rsidRPr="00670240" w:rsidR="00434BA3">
        <w:t> </w:t>
      </w:r>
      <w:r w:rsidRPr="00670240">
        <w:t>ans</w:t>
      </w:r>
      <w:r w:rsidRPr="00670240">
        <w:rPr>
          <w:rStyle w:val="FootnoteReference"/>
        </w:rPr>
        <w:footnoteReference w:id="25"/>
      </w:r>
      <w:r w:rsidRPr="00670240">
        <w:t>.</w:t>
      </w:r>
    </w:p>
    <w:p w:rsidRPr="00670240" w:rsidR="004F21BF" w:rsidP="00160404" w:rsidRDefault="004F21BF"/>
    <w:p w:rsidRPr="00491E0D" w:rsidR="00272583" w:rsidP="00272583" w:rsidRDefault="00272583">
      <w:r w:rsidRPr="00491E0D">
        <w:t>Bruxelles, le</w:t>
      </w:r>
      <w:r w:rsidRPr="00491E0D" w:rsidR="007002E5">
        <w:t> </w:t>
      </w:r>
      <w:r w:rsidR="00136A9A">
        <w:t>27</w:t>
      </w:r>
      <w:r w:rsidR="00E32E86">
        <w:t> </w:t>
      </w:r>
      <w:r w:rsidR="00136A9A">
        <w:t>janvier</w:t>
      </w:r>
      <w:r w:rsidR="00E32E86">
        <w:t> </w:t>
      </w:r>
      <w:r w:rsidRPr="00491E0D" w:rsidR="00136A9A">
        <w:t>202</w:t>
      </w:r>
      <w:r w:rsidR="00136A9A">
        <w:t>1</w:t>
      </w:r>
    </w:p>
    <w:p w:rsidRPr="00491E0D" w:rsidR="00272583" w:rsidP="00272583" w:rsidRDefault="00272583"/>
    <w:p w:rsidRPr="00491E0D" w:rsidR="00272583" w:rsidP="00272583" w:rsidRDefault="00272583"/>
    <w:p w:rsidRPr="00491E0D" w:rsidR="00272583" w:rsidP="00272583" w:rsidRDefault="00272583"/>
    <w:p w:rsidRPr="00491E0D" w:rsidR="00272583" w:rsidP="00272583" w:rsidRDefault="00272583"/>
    <w:p w:rsidRPr="00491E0D" w:rsidR="00272583" w:rsidP="00670240" w:rsidRDefault="00136A9A">
      <w:pPr>
        <w:jc w:val="left"/>
      </w:pPr>
      <w:r>
        <w:rPr>
          <w:color w:val="000000" w:themeColor="text1"/>
        </w:rPr>
        <w:t>Christa SCHWENG</w:t>
      </w:r>
      <w:r w:rsidRPr="00491E0D" w:rsidR="00272583">
        <w:br/>
        <w:t xml:space="preserve">Présidente </w:t>
      </w:r>
      <w:r w:rsidRPr="00E52C4A" w:rsidR="007F1460">
        <w:t>du Comité économique et social européen</w:t>
      </w:r>
    </w:p>
    <w:p w:rsidRPr="00670240" w:rsidR="007002E5" w:rsidP="00670240" w:rsidRDefault="007002E5">
      <w:pPr>
        <w:jc w:val="left"/>
      </w:pPr>
    </w:p>
    <w:p w:rsidRPr="00491E0D" w:rsidR="00646AC2" w:rsidRDefault="00646AC2">
      <w:pPr>
        <w:overflowPunct/>
        <w:adjustRightInd/>
        <w:jc w:val="center"/>
        <w:textAlignment w:val="auto"/>
      </w:pPr>
      <w:r w:rsidRPr="00670240">
        <w:t>_____________</w:t>
      </w:r>
    </w:p>
    <w:sectPr w:rsidRPr="00491E0D" w:rsidR="00646AC2" w:rsidSect="00113A77">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84" w:rsidRDefault="00CF2184">
      <w:r>
        <w:separator/>
      </w:r>
    </w:p>
  </w:endnote>
  <w:endnote w:type="continuationSeparator" w:id="0">
    <w:p w:rsidR="00CF2184" w:rsidRDefault="00CF2184">
      <w:r>
        <w:continuationSeparator/>
      </w:r>
    </w:p>
  </w:endnote>
  <w:endnote w:type="continuationNotice" w:id="1">
    <w:p w:rsidR="00CF2184" w:rsidRDefault="00CF2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113A77" w:rsidP="00113A77" w:rsidRDefault="0011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113A77">
    <w:pPr>
      <w:pStyle w:val="Footer"/>
    </w:pPr>
    <w:r>
      <w:t xml:space="preserve">TEN/718 – EESC-2020-03535-00-00-AC-TRA (FR) </w:t>
    </w:r>
    <w:r>
      <w:fldChar w:fldCharType="begin"/>
    </w:r>
    <w:r>
      <w:instrText xml:space="preserve"> PAGE  \* Arabic  \* MERGEFORMAT </w:instrText>
    </w:r>
    <w:r>
      <w:fldChar w:fldCharType="separate"/>
    </w:r>
    <w:r w:rsidR="00AC15EF">
      <w:rPr>
        <w:noProof/>
      </w:rPr>
      <w:t>1</w:t>
    </w:r>
    <w:r>
      <w:fldChar w:fldCharType="end"/>
    </w:r>
    <w:r>
      <w:t>/</w:t>
    </w:r>
    <w:r w:rsidR="00F24CCF">
      <w:fldChar w:fldCharType="begin"/>
    </w:r>
    <w:r w:rsidR="00F24CCF">
      <w:instrText xml:space="preserve"> NUMPAGES </w:instrText>
    </w:r>
    <w:r w:rsidR="00F24CCF">
      <w:fldChar w:fldCharType="separate"/>
    </w:r>
    <w:r w:rsidR="00AC15EF">
      <w:rPr>
        <w:noProof/>
      </w:rPr>
      <w:t>1</w:t>
    </w:r>
    <w:r w:rsidR="00F24C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113A77" w:rsidP="00113A77" w:rsidRDefault="00113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D706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113A77">
    <w:pPr>
      <w:pStyle w:val="Footer"/>
    </w:pPr>
    <w:r>
      <w:t xml:space="preserve">TEN/718 – EESC-2020-03535-00-00-AC-TRA (FR) </w:t>
    </w:r>
    <w:r>
      <w:fldChar w:fldCharType="begin"/>
    </w:r>
    <w:r>
      <w:instrText xml:space="preserve"> PAGE  \* Arabic  \* MERGEFORMAT </w:instrText>
    </w:r>
    <w:r>
      <w:fldChar w:fldCharType="separate"/>
    </w:r>
    <w:r>
      <w:rPr>
        <w:noProof/>
      </w:rPr>
      <w:t>12</w:t>
    </w:r>
    <w:r>
      <w:fldChar w:fldCharType="end"/>
    </w:r>
    <w:r>
      <w:t>/</w:t>
    </w:r>
    <w:r w:rsidR="00F24CCF">
      <w:fldChar w:fldCharType="begin"/>
    </w:r>
    <w:r w:rsidR="00F24CCF">
      <w:instrText xml:space="preserve"> NUMPAGES </w:instrText>
    </w:r>
    <w:r w:rsidR="00F24CCF">
      <w:fldChar w:fldCharType="separate"/>
    </w:r>
    <w:r>
      <w:rPr>
        <w:noProof/>
      </w:rPr>
      <w:t>12</w:t>
    </w:r>
    <w:r w:rsidR="00F24CC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D7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84" w:rsidRDefault="00CF2184">
      <w:r>
        <w:separator/>
      </w:r>
    </w:p>
  </w:footnote>
  <w:footnote w:type="continuationSeparator" w:id="0">
    <w:p w:rsidR="00CF2184" w:rsidRDefault="00CF2184">
      <w:r>
        <w:continuationSeparator/>
      </w:r>
    </w:p>
  </w:footnote>
  <w:footnote w:type="continuationNotice" w:id="1">
    <w:p w:rsidR="00CF2184" w:rsidRDefault="00CF2184">
      <w:pPr>
        <w:spacing w:line="240" w:lineRule="auto"/>
      </w:pPr>
    </w:p>
  </w:footnote>
  <w:footnote w:id="2">
    <w:p w:rsidRPr="00097BC6" w:rsidR="00D706CC" w:rsidP="006F60ED" w:rsidRDefault="00D706CC">
      <w:pPr>
        <w:pStyle w:val="FootnoteText"/>
        <w:ind w:left="567" w:hanging="567"/>
      </w:pPr>
      <w:r>
        <w:rPr>
          <w:rStyle w:val="FootnoteReference"/>
        </w:rPr>
        <w:footnoteRef/>
      </w:r>
      <w:r>
        <w:tab/>
      </w:r>
      <w:r w:rsidR="00F37C49">
        <w:t xml:space="preserve">Aussi nommés </w:t>
      </w:r>
      <w:r w:rsidR="005A3A86">
        <w:t>«</w:t>
      </w:r>
      <w:r w:rsidRPr="00160404" w:rsidR="00F37C49">
        <w:rPr>
          <w:i/>
        </w:rPr>
        <w:t>H</w:t>
      </w:r>
      <w:r w:rsidR="00F37C49">
        <w:rPr>
          <w:i/>
        </w:rPr>
        <w:t>ard-to-</w:t>
      </w:r>
      <w:r w:rsidRPr="00160404" w:rsidR="00F37C49">
        <w:rPr>
          <w:i/>
        </w:rPr>
        <w:t>abate sectors</w:t>
      </w:r>
      <w:r w:rsidR="005A3A86">
        <w:rPr>
          <w:i/>
        </w:rPr>
        <w:t>»</w:t>
      </w:r>
      <w:r w:rsidR="00F37C49">
        <w:t xml:space="preserve"> (</w:t>
      </w:r>
      <w:r w:rsidR="005A3A86">
        <w:t>par exemple les</w:t>
      </w:r>
      <w:r w:rsidR="00F37C49">
        <w:t xml:space="preserve"> industries de </w:t>
      </w:r>
      <w:r w:rsidRPr="00B22B76">
        <w:t>l</w:t>
      </w:r>
      <w:r w:rsidR="00D25294">
        <w:t>’</w:t>
      </w:r>
      <w:r w:rsidRPr="00B22B76">
        <w:t xml:space="preserve">acier, </w:t>
      </w:r>
      <w:r w:rsidR="00F37C49">
        <w:t xml:space="preserve">de </w:t>
      </w:r>
      <w:r w:rsidRPr="00B22B76">
        <w:t xml:space="preserve">la pétrochimie, </w:t>
      </w:r>
      <w:r w:rsidR="00F37C49">
        <w:t xml:space="preserve">de </w:t>
      </w:r>
      <w:r w:rsidRPr="00B22B76">
        <w:t>l</w:t>
      </w:r>
      <w:r w:rsidR="00D25294">
        <w:t>’</w:t>
      </w:r>
      <w:r w:rsidRPr="00B22B76">
        <w:t xml:space="preserve">aluminium, </w:t>
      </w:r>
      <w:r w:rsidR="00F37C49">
        <w:t xml:space="preserve">du </w:t>
      </w:r>
      <w:r w:rsidRPr="00B22B76">
        <w:t xml:space="preserve">ciment et </w:t>
      </w:r>
      <w:r w:rsidR="00F37C49">
        <w:t>d</w:t>
      </w:r>
      <w:r w:rsidRPr="00B22B76">
        <w:t>es engrais</w:t>
      </w:r>
      <w:r>
        <w:t>.</w:t>
      </w:r>
      <w:r w:rsidR="00F37C49">
        <w:t xml:space="preserve">), </w:t>
      </w:r>
      <w:r w:rsidR="006D0837">
        <w:t>définis</w:t>
      </w:r>
      <w:r w:rsidR="00F37C49">
        <w:t xml:space="preserve"> comme tels car les</w:t>
      </w:r>
      <w:r w:rsidRPr="00F37C49" w:rsidR="00F37C49">
        <w:t xml:space="preserve"> solutions </w:t>
      </w:r>
      <w:r w:rsidR="00F37C49">
        <w:t xml:space="preserve">de décarbonation </w:t>
      </w:r>
      <w:r w:rsidRPr="00F37C49" w:rsidR="00F37C49">
        <w:t>entraînent un coût de réduction plus élevé que les technologies actuelles à plus forte teneur en carbone</w:t>
      </w:r>
      <w:r w:rsidR="00917794">
        <w:t>.</w:t>
      </w:r>
    </w:p>
  </w:footnote>
  <w:footnote w:id="3">
    <w:p w:rsidRPr="005B3BF0" w:rsidR="00D706CC" w:rsidRDefault="00D706CC">
      <w:pPr>
        <w:pStyle w:val="FootnoteText"/>
        <w:ind w:left="567" w:hanging="567"/>
      </w:pPr>
      <w:r>
        <w:rPr>
          <w:rStyle w:val="FootnoteReference"/>
        </w:rPr>
        <w:footnoteRef/>
      </w:r>
      <w:r w:rsidRPr="00CB5EE2">
        <w:tab/>
      </w:r>
      <w:r>
        <w:t>Selon les données d</w:t>
      </w:r>
      <w:r w:rsidR="00034135">
        <w:t>’</w:t>
      </w:r>
      <w:hyperlink w:history="1" r:id="rId1">
        <w:r w:rsidRPr="005B3BF0">
          <w:rPr>
            <w:rStyle w:val="Hyperlink"/>
          </w:rPr>
          <w:t>Eurostat</w:t>
        </w:r>
      </w:hyperlink>
      <w:r>
        <w:t xml:space="preserve"> publiées en </w:t>
      </w:r>
      <w:r w:rsidRPr="00CB5EE2">
        <w:t>août</w:t>
      </w:r>
      <w:r>
        <w:t xml:space="preserve"> 2020, l</w:t>
      </w:r>
      <w:r w:rsidRPr="00F07196">
        <w:t>e coronavirus a entraîné une réduction de 2,6</w:t>
      </w:r>
      <w:r w:rsidRPr="00CB5EE2">
        <w:t> </w:t>
      </w:r>
      <w:r w:rsidRPr="00F07196">
        <w:t xml:space="preserve">% de </w:t>
      </w:r>
      <w:r w:rsidRPr="00CB5EE2">
        <w:t>l</w:t>
      </w:r>
      <w:r>
        <w:t>’</w:t>
      </w:r>
      <w:r w:rsidRPr="00CB5EE2">
        <w:t>emploi</w:t>
      </w:r>
      <w:r w:rsidRPr="00F07196">
        <w:t xml:space="preserve"> dans le bloc au deuxième trimestre</w:t>
      </w:r>
      <w:r w:rsidRPr="00CB5EE2">
        <w:t>.</w:t>
      </w:r>
    </w:p>
  </w:footnote>
  <w:footnote w:id="4">
    <w:p w:rsidRPr="00B944D4" w:rsidR="00D706CC" w:rsidRDefault="00D706CC">
      <w:pPr>
        <w:pStyle w:val="FootnoteText"/>
        <w:ind w:left="567" w:hanging="567"/>
      </w:pPr>
      <w:r>
        <w:rPr>
          <w:rStyle w:val="FootnoteReference"/>
        </w:rPr>
        <w:footnoteRef/>
      </w:r>
      <w:r w:rsidRPr="00CB5EE2">
        <w:tab/>
        <w:t>C</w:t>
      </w:r>
      <w:r>
        <w:t>’</w:t>
      </w:r>
      <w:r w:rsidRPr="00CB5EE2">
        <w:t>est</w:t>
      </w:r>
      <w:r w:rsidRPr="00F07196">
        <w:t>-à-dire la création de biens et de services sans utilisation de carbone.</w:t>
      </w:r>
    </w:p>
  </w:footnote>
  <w:footnote w:id="5">
    <w:p w:rsidRPr="00873AAE" w:rsidR="00D706CC" w:rsidP="006F60ED" w:rsidRDefault="00D706CC">
      <w:pPr>
        <w:pStyle w:val="FootnoteText"/>
        <w:ind w:left="567" w:hanging="567"/>
      </w:pPr>
      <w:r>
        <w:rPr>
          <w:rStyle w:val="FootnoteReference"/>
        </w:rPr>
        <w:footnoteRef/>
      </w:r>
      <w:r>
        <w:tab/>
        <w:t xml:space="preserve">Y compris les Balkans occidentaux, l’Ukraine et </w:t>
      </w:r>
      <w:r w:rsidRPr="002C57D5">
        <w:t xml:space="preserve">les pays du voisinage </w:t>
      </w:r>
      <w:r>
        <w:t>méridional.</w:t>
      </w:r>
    </w:p>
  </w:footnote>
  <w:footnote w:id="6">
    <w:p w:rsidRPr="00AA2C91" w:rsidR="00D706CC" w:rsidP="006F60ED" w:rsidRDefault="00D706CC">
      <w:pPr>
        <w:pStyle w:val="FootnoteText"/>
        <w:ind w:left="567" w:hanging="567"/>
        <w:rPr>
          <w:lang w:val="fr-BE"/>
        </w:rPr>
      </w:pPr>
      <w:r>
        <w:rPr>
          <w:rStyle w:val="FootnoteReference"/>
        </w:rPr>
        <w:footnoteRef/>
      </w:r>
      <w:r w:rsidRPr="00160404">
        <w:tab/>
      </w:r>
      <w:r w:rsidRPr="00AA2C91">
        <w:rPr>
          <w:lang w:val="fr-BE"/>
        </w:rPr>
        <w:t>Voir COM(2015) 80.</w:t>
      </w:r>
    </w:p>
  </w:footnote>
  <w:footnote w:id="7">
    <w:p w:rsidRPr="00AA2C91" w:rsidR="00D706CC" w:rsidP="006F60ED" w:rsidRDefault="00D706CC">
      <w:pPr>
        <w:pStyle w:val="FootnoteText"/>
        <w:ind w:left="567" w:hanging="567"/>
        <w:rPr>
          <w:lang w:val="fr-BE"/>
        </w:rPr>
      </w:pPr>
      <w:r w:rsidRPr="00AA2C91">
        <w:rPr>
          <w:rStyle w:val="FootnoteReference"/>
          <w:lang w:val="fr-BE"/>
        </w:rPr>
        <w:footnoteRef/>
      </w:r>
      <w:r w:rsidRPr="00AA2C91">
        <w:rPr>
          <w:lang w:val="fr-BE"/>
        </w:rPr>
        <w:tab/>
        <w:t>Voir COM(2020) 299 «Alimenter en énergie une économie neutre pour le climat: une stratégie de l</w:t>
      </w:r>
      <w:r>
        <w:rPr>
          <w:lang w:val="fr-BE"/>
        </w:rPr>
        <w:t>’</w:t>
      </w:r>
      <w:r w:rsidRPr="00AA2C91">
        <w:rPr>
          <w:lang w:val="fr-BE"/>
        </w:rPr>
        <w:t>UE pour l</w:t>
      </w:r>
      <w:r>
        <w:rPr>
          <w:lang w:val="fr-BE"/>
        </w:rPr>
        <w:t>’</w:t>
      </w:r>
      <w:r w:rsidRPr="00AA2C91">
        <w:rPr>
          <w:lang w:val="fr-BE"/>
        </w:rPr>
        <w:t>intégration du système énergétique».</w:t>
      </w:r>
    </w:p>
  </w:footnote>
  <w:footnote w:id="8">
    <w:p w:rsidRPr="002C57D5" w:rsidR="00D706CC" w:rsidP="00EC07CC" w:rsidRDefault="00D706CC">
      <w:pPr>
        <w:pStyle w:val="FootnoteText"/>
        <w:ind w:left="567" w:hanging="567"/>
      </w:pPr>
      <w:r w:rsidRPr="002C57D5">
        <w:rPr>
          <w:rStyle w:val="FootnoteReference"/>
        </w:rPr>
        <w:footnoteRef/>
      </w:r>
      <w:r w:rsidRPr="00CB5EE2">
        <w:tab/>
      </w:r>
      <w:r w:rsidRPr="002C57D5">
        <w:t>Le PIB de l</w:t>
      </w:r>
      <w:r>
        <w:t>’</w:t>
      </w:r>
      <w:r w:rsidRPr="002C57D5">
        <w:t>Union s</w:t>
      </w:r>
      <w:r>
        <w:t>’</w:t>
      </w:r>
      <w:r w:rsidRPr="002C57D5">
        <w:t>est contracté de 11,9 % au deuxième trimestre</w:t>
      </w:r>
      <w:r w:rsidRPr="00CB5EE2">
        <w:t xml:space="preserve"> de</w:t>
      </w:r>
      <w:r w:rsidRPr="002C57D5">
        <w:t xml:space="preserve"> 2020, selon </w:t>
      </w:r>
      <w:hyperlink w:history="1" r:id="rId2">
        <w:r w:rsidRPr="002C57D5">
          <w:rPr>
            <w:rStyle w:val="Hyperlink"/>
          </w:rPr>
          <w:t>Eurostat</w:t>
        </w:r>
      </w:hyperlink>
      <w:r w:rsidRPr="002C57D5">
        <w:t>, l</w:t>
      </w:r>
      <w:r>
        <w:t>’</w:t>
      </w:r>
      <w:r w:rsidRPr="002C57D5">
        <w:t>office des statistiques de l</w:t>
      </w:r>
      <w:r>
        <w:t>’</w:t>
      </w:r>
      <w:r w:rsidRPr="002C57D5">
        <w:t>UE.</w:t>
      </w:r>
    </w:p>
  </w:footnote>
  <w:footnote w:id="9">
    <w:p w:rsidRPr="002C57D5" w:rsidR="00D706CC" w:rsidP="00EC07CC" w:rsidRDefault="00D706CC">
      <w:pPr>
        <w:pStyle w:val="FootnoteText"/>
        <w:ind w:left="567" w:hanging="567"/>
      </w:pPr>
      <w:r w:rsidRPr="002C57D5">
        <w:rPr>
          <w:rStyle w:val="FootnoteReference"/>
        </w:rPr>
        <w:footnoteRef/>
      </w:r>
      <w:r w:rsidRPr="002C57D5">
        <w:tab/>
        <w:t>Définis comme tels car les coûts de réduction des émissions sont élevés et que les progrès pour réduire les émissions ont été lents et difficiles.</w:t>
      </w:r>
    </w:p>
  </w:footnote>
  <w:footnote w:id="10">
    <w:p w:rsidRPr="002C57D5" w:rsidR="00D706CC" w:rsidP="00EC07CC" w:rsidRDefault="00D706CC">
      <w:pPr>
        <w:pStyle w:val="FootnoteText"/>
        <w:ind w:left="567" w:hanging="567"/>
      </w:pPr>
      <w:r w:rsidRPr="002C57D5">
        <w:rPr>
          <w:rStyle w:val="FootnoteReference"/>
        </w:rPr>
        <w:footnoteRef/>
      </w:r>
      <w:r w:rsidRPr="002C57D5">
        <w:tab/>
        <w:t xml:space="preserve">Données </w:t>
      </w:r>
      <w:r w:rsidRPr="00CB5EE2">
        <w:t>Eurostat</w:t>
      </w:r>
      <w:r w:rsidRPr="002C57D5">
        <w:t xml:space="preserve">, </w:t>
      </w:r>
      <w:hyperlink w:history="1" r:id="rId3">
        <w:r w:rsidRPr="002C57D5">
          <w:rPr>
            <w:rStyle w:val="Hyperlink"/>
          </w:rPr>
          <w:t>[nrg_ind_peh]</w:t>
        </w:r>
      </w:hyperlink>
      <w:r w:rsidRPr="005917E0">
        <w:t>.</w:t>
      </w:r>
    </w:p>
  </w:footnote>
  <w:footnote w:id="11">
    <w:p w:rsidRPr="002C57D5" w:rsidR="00D706CC" w:rsidP="00EC07CC" w:rsidRDefault="00D706CC">
      <w:pPr>
        <w:pStyle w:val="FootnoteText"/>
        <w:ind w:left="567" w:hanging="567"/>
      </w:pPr>
      <w:r w:rsidRPr="002C57D5">
        <w:rPr>
          <w:rStyle w:val="FootnoteReference"/>
        </w:rPr>
        <w:footnoteRef/>
      </w:r>
      <w:r w:rsidRPr="002C57D5">
        <w:tab/>
        <w:t>Ou de l</w:t>
      </w:r>
      <w:r>
        <w:t>’</w:t>
      </w:r>
      <w:r w:rsidRPr="002C57D5">
        <w:t>électrolyse avec un cycle de vie significativement réduit d</w:t>
      </w:r>
      <w:r>
        <w:t>’</w:t>
      </w:r>
      <w:r w:rsidRPr="002C57D5">
        <w:t>émissions de GES.</w:t>
      </w:r>
    </w:p>
  </w:footnote>
  <w:footnote w:id="12">
    <w:p w:rsidRPr="002C57D5" w:rsidR="00D706CC" w:rsidP="00EC07CC" w:rsidRDefault="00D706CC">
      <w:pPr>
        <w:pStyle w:val="FootnoteText"/>
        <w:ind w:left="567" w:hanging="567"/>
      </w:pPr>
      <w:r w:rsidRPr="002C57D5">
        <w:rPr>
          <w:rStyle w:val="FootnoteReference"/>
        </w:rPr>
        <w:footnoteRef/>
      </w:r>
      <w:r w:rsidRPr="002C57D5">
        <w:tab/>
        <w:t>Il permet des économies d</w:t>
      </w:r>
      <w:r>
        <w:t>’</w:t>
      </w:r>
      <w:r w:rsidRPr="002C57D5">
        <w:t>émissions sur le cycle de vie de 60 à 85 % par rapport à l</w:t>
      </w:r>
      <w:r>
        <w:t>’</w:t>
      </w:r>
      <w:r w:rsidRPr="002C57D5">
        <w:t>utilisation du gaz naturel dans les chaudières.</w:t>
      </w:r>
    </w:p>
  </w:footnote>
  <w:footnote w:id="13">
    <w:p w:rsidRPr="002C57D5" w:rsidR="00D706CC" w:rsidP="00EC07CC" w:rsidRDefault="00D706CC">
      <w:pPr>
        <w:pStyle w:val="FootnoteText"/>
        <w:ind w:left="567" w:hanging="567"/>
      </w:pPr>
      <w:r w:rsidRPr="002C57D5">
        <w:rPr>
          <w:rStyle w:val="FootnoteReference"/>
        </w:rPr>
        <w:footnoteRef/>
      </w:r>
      <w:r w:rsidRPr="002C57D5">
        <w:tab/>
        <w:t>Avis du Comité économique et social européen sur la «Communication de la Commission au Parlement européen, au Conseil européen, au Conseil, au Comité économique et social européen, au Comité des régions et à la Banque européenne d</w:t>
      </w:r>
      <w:r>
        <w:t>’</w:t>
      </w:r>
      <w:r w:rsidRPr="002C57D5">
        <w:t>investissement</w:t>
      </w:r>
      <w:r w:rsidRPr="00CB5EE2">
        <w:t> </w:t>
      </w:r>
      <w:r w:rsidRPr="002C57D5">
        <w:t xml:space="preserve">– Une planète propre pour tous – Une vision européenne stratégique à long terme pour une économie prospère, moderne, compétitive et neutre pour le climat» </w:t>
      </w:r>
      <w:hyperlink w:history="1" r:id="rId4">
        <w:r w:rsidR="00D25294">
          <w:rPr>
            <w:rStyle w:val="Hyperlink"/>
          </w:rPr>
          <w:t>[COM(2018) 773 </w:t>
        </w:r>
        <w:r w:rsidRPr="002C57D5">
          <w:rPr>
            <w:rStyle w:val="Hyperlink"/>
          </w:rPr>
          <w:t>final]</w:t>
        </w:r>
      </w:hyperlink>
      <w:r w:rsidRPr="005917E0">
        <w:t>.</w:t>
      </w:r>
    </w:p>
  </w:footnote>
  <w:footnote w:id="14">
    <w:p w:rsidRPr="00160404" w:rsidR="00D706CC" w:rsidP="00EC07CC" w:rsidRDefault="00D706CC">
      <w:pPr>
        <w:pStyle w:val="FootnoteText"/>
        <w:ind w:left="567" w:hanging="567"/>
      </w:pPr>
      <w:r w:rsidRPr="002C57D5">
        <w:rPr>
          <w:rStyle w:val="FootnoteReference"/>
        </w:rPr>
        <w:footnoteRef/>
      </w:r>
      <w:r w:rsidRPr="002C57D5">
        <w:tab/>
        <w:t>L</w:t>
      </w:r>
      <w:r>
        <w:t>’</w:t>
      </w:r>
      <w:r w:rsidRPr="002C57D5">
        <w:t xml:space="preserve">hydrogène produit par reformage du gaz naturel coûte environ 1 USD/kg. </w:t>
      </w:r>
      <w:r w:rsidRPr="00160404">
        <w:t>Source: Platts Hydrogen Assessments.</w:t>
      </w:r>
    </w:p>
  </w:footnote>
  <w:footnote w:id="15">
    <w:p w:rsidRPr="00160404" w:rsidR="00D706CC" w:rsidP="006F60ED" w:rsidRDefault="00D706CC">
      <w:pPr>
        <w:pStyle w:val="FootnoteText"/>
        <w:ind w:left="567" w:hanging="567"/>
      </w:pPr>
      <w:r>
        <w:rPr>
          <w:rStyle w:val="FootnoteReference"/>
        </w:rPr>
        <w:footnoteRef/>
      </w:r>
      <w:r w:rsidRPr="00160404">
        <w:tab/>
      </w:r>
      <w:r w:rsidRPr="00AA2C91">
        <w:rPr>
          <w:lang w:val="fr-BE"/>
        </w:rPr>
        <w:t xml:space="preserve">Voir le rapport annuel de </w:t>
      </w:r>
      <w:hyperlink w:history="1" r:id="rId5">
        <w:r w:rsidRPr="00AA2C91">
          <w:rPr>
            <w:rStyle w:val="Hyperlink"/>
            <w:lang w:val="fr-BE"/>
          </w:rPr>
          <w:t>T&amp;E pour 2019</w:t>
        </w:r>
      </w:hyperlink>
      <w:r w:rsidRPr="00160404">
        <w:t>.</w:t>
      </w:r>
    </w:p>
  </w:footnote>
  <w:footnote w:id="16">
    <w:p w:rsidRPr="00AA2C91" w:rsidR="00D706CC" w:rsidP="00F44AFD" w:rsidRDefault="00D706CC">
      <w:pPr>
        <w:pStyle w:val="FootnoteText"/>
        <w:ind w:left="567" w:hanging="567"/>
        <w:rPr>
          <w:lang w:val="fr-BE"/>
        </w:rPr>
      </w:pPr>
      <w:r w:rsidRPr="00160404">
        <w:rPr>
          <w:rStyle w:val="FootnoteReference"/>
        </w:rPr>
        <w:footnoteRef/>
      </w:r>
      <w:r w:rsidRPr="00160404">
        <w:tab/>
      </w:r>
      <w:hyperlink w:history="1" r:id="rId6">
        <w:r w:rsidRPr="00B639E1" w:rsidR="001453CE">
          <w:rPr>
            <w:rStyle w:val="Hyperlink"/>
            <w:lang w:val="fr-BE"/>
          </w:rPr>
          <w:t>https://www.touteleurope.eu/actualite/les-entreprises-dans-l-union-europeenne.html</w:t>
        </w:r>
      </w:hyperlink>
      <w:r w:rsidRPr="00AA2C91">
        <w:rPr>
          <w:lang w:val="fr-BE"/>
        </w:rPr>
        <w:t>.</w:t>
      </w:r>
    </w:p>
  </w:footnote>
  <w:footnote w:id="17">
    <w:p w:rsidRPr="00AA2C91" w:rsidR="00D706CC" w:rsidP="00F44AFD" w:rsidRDefault="00D706CC">
      <w:pPr>
        <w:pStyle w:val="FootnoteText"/>
        <w:ind w:left="567" w:hanging="567"/>
        <w:rPr>
          <w:lang w:val="fr-BE"/>
        </w:rPr>
      </w:pPr>
      <w:r w:rsidRPr="00160404">
        <w:rPr>
          <w:rStyle w:val="FootnoteReference"/>
        </w:rPr>
        <w:footnoteRef/>
      </w:r>
      <w:r w:rsidRPr="00AA2C91">
        <w:rPr>
          <w:lang w:val="fr-BE"/>
        </w:rPr>
        <w:tab/>
        <w:t>C</w:t>
      </w:r>
      <w:r>
        <w:rPr>
          <w:lang w:val="fr-BE"/>
        </w:rPr>
        <w:t>’</w:t>
      </w:r>
      <w:r w:rsidRPr="00AA2C91">
        <w:rPr>
          <w:lang w:val="fr-BE"/>
        </w:rPr>
        <w:t>est-à-dire les fonds territoriaux d</w:t>
      </w:r>
      <w:r>
        <w:rPr>
          <w:lang w:val="fr-BE"/>
        </w:rPr>
        <w:t>’</w:t>
      </w:r>
      <w:r w:rsidRPr="00AA2C91">
        <w:rPr>
          <w:lang w:val="fr-BE"/>
        </w:rPr>
        <w:t>investissement, le dispositif de garantie publique à 60 % des financements verts dédiés à leur développement, des dispositifs d</w:t>
      </w:r>
      <w:r>
        <w:rPr>
          <w:lang w:val="fr-BE"/>
        </w:rPr>
        <w:t>’</w:t>
      </w:r>
      <w:r w:rsidRPr="00AA2C91">
        <w:rPr>
          <w:lang w:val="fr-BE"/>
        </w:rPr>
        <w:t>assurance couvrant leur risque de développement dans le domaine de l</w:t>
      </w:r>
      <w:r>
        <w:rPr>
          <w:lang w:val="fr-BE"/>
        </w:rPr>
        <w:t>’</w:t>
      </w:r>
      <w:r w:rsidRPr="00AA2C91">
        <w:rPr>
          <w:lang w:val="fr-BE"/>
        </w:rPr>
        <w:t>hydrogène vert.</w:t>
      </w:r>
    </w:p>
  </w:footnote>
  <w:footnote w:id="18">
    <w:p w:rsidRPr="00160404" w:rsidR="00D706CC" w:rsidP="00F44AFD" w:rsidRDefault="00D706CC">
      <w:pPr>
        <w:pStyle w:val="FootnoteText"/>
        <w:ind w:left="567" w:hanging="567"/>
      </w:pPr>
      <w:r w:rsidRPr="00160404">
        <w:rPr>
          <w:rStyle w:val="FootnoteReference"/>
        </w:rPr>
        <w:footnoteRef/>
      </w:r>
      <w:r w:rsidRPr="00AA2C91">
        <w:rPr>
          <w:lang w:val="fr-BE"/>
        </w:rPr>
        <w:tab/>
        <w:t>Résolution du CESE du 11 juin 2020 relative aux «Propositions du CESE pour la reconstruction et la relance après la crise de la COVID-19».</w:t>
      </w:r>
    </w:p>
  </w:footnote>
  <w:footnote w:id="19">
    <w:p w:rsidRPr="002C57D5" w:rsidR="00D706CC" w:rsidP="00EC07CC" w:rsidRDefault="00D706CC">
      <w:pPr>
        <w:pStyle w:val="FootnoteText"/>
        <w:ind w:left="567" w:hanging="567"/>
      </w:pPr>
      <w:r w:rsidRPr="002C57D5">
        <w:rPr>
          <w:rStyle w:val="FootnoteReference"/>
        </w:rPr>
        <w:footnoteRef/>
      </w:r>
      <w:r w:rsidRPr="002C57D5">
        <w:tab/>
        <w:t xml:space="preserve">Voir </w:t>
      </w:r>
      <w:hyperlink w:history="1" r:id="rId7">
        <w:r w:rsidRPr="002C57D5">
          <w:rPr>
            <w:rStyle w:val="Hyperlink"/>
          </w:rPr>
          <w:t>la liste des membres</w:t>
        </w:r>
      </w:hyperlink>
      <w:r w:rsidRPr="002C57D5">
        <w:t xml:space="preserve"> de l</w:t>
      </w:r>
      <w:r>
        <w:t>’</w:t>
      </w:r>
      <w:r w:rsidRPr="002C57D5">
        <w:t>alliance pour l</w:t>
      </w:r>
      <w:r>
        <w:t>’</w:t>
      </w:r>
      <w:r w:rsidRPr="002C57D5">
        <w:t>hydrogène propre.</w:t>
      </w:r>
    </w:p>
  </w:footnote>
  <w:footnote w:id="20">
    <w:p w:rsidRPr="00AE47DE" w:rsidR="0025193D" w:rsidP="00AE47DE" w:rsidRDefault="0025193D">
      <w:pPr>
        <w:pStyle w:val="FootnoteText"/>
        <w:ind w:left="567" w:hanging="567"/>
        <w:rPr>
          <w:lang w:val="en-GB"/>
        </w:rPr>
      </w:pPr>
      <w:r>
        <w:rPr>
          <w:rStyle w:val="FootnoteReference"/>
        </w:rPr>
        <w:footnoteRef/>
      </w:r>
      <w:r w:rsidR="006D0837">
        <w:tab/>
        <w:t>C</w:t>
      </w:r>
      <w:r w:rsidRPr="00246727">
        <w:t xml:space="preserve">es enchères ont </w:t>
      </w:r>
      <w:r>
        <w:t>particulièr</w:t>
      </w:r>
      <w:r w:rsidR="006D0837">
        <w:t>e</w:t>
      </w:r>
      <w:r>
        <w:t xml:space="preserve">ment </w:t>
      </w:r>
      <w:r w:rsidRPr="00246727">
        <w:t>contribué au développement de l</w:t>
      </w:r>
      <w:r w:rsidR="006D0837">
        <w:t>’</w:t>
      </w:r>
      <w:r w:rsidRPr="00246727">
        <w:t xml:space="preserve">énergie éolienne </w:t>
      </w:r>
      <w:r w:rsidR="006D0837">
        <w:t>en mer</w:t>
      </w:r>
      <w:r w:rsidRPr="00246727">
        <w:t xml:space="preserve"> au Royaume-Uni car elles ont permis </w:t>
      </w:r>
      <w:hyperlink w:history="1" r:id="rId8">
        <w:r w:rsidRPr="00246727">
          <w:rPr>
            <w:rStyle w:val="Hyperlink"/>
          </w:rPr>
          <w:t>d</w:t>
        </w:r>
        <w:r w:rsidR="006D0837">
          <w:rPr>
            <w:rStyle w:val="Hyperlink"/>
          </w:rPr>
          <w:t>’</w:t>
        </w:r>
        <w:r w:rsidRPr="00246727">
          <w:rPr>
            <w:rStyle w:val="Hyperlink"/>
          </w:rPr>
          <w:t>obtenir des offres peu élevées</w:t>
        </w:r>
      </w:hyperlink>
      <w:r w:rsidR="006D0837">
        <w:t>.</w:t>
      </w:r>
    </w:p>
  </w:footnote>
  <w:footnote w:id="21">
    <w:p w:rsidRPr="00AE47DE" w:rsidR="0025193D" w:rsidP="00AE47DE" w:rsidRDefault="0025193D">
      <w:pPr>
        <w:pStyle w:val="FootnoteText"/>
        <w:ind w:left="567" w:hanging="567"/>
        <w:rPr>
          <w:lang w:val="en-GB"/>
        </w:rPr>
      </w:pPr>
      <w:r>
        <w:rPr>
          <w:rStyle w:val="FootnoteReference"/>
        </w:rPr>
        <w:footnoteRef/>
      </w:r>
      <w:r w:rsidR="006D0837">
        <w:tab/>
      </w:r>
      <w:r w:rsidRPr="0025193D">
        <w:t xml:space="preserve">Voir </w:t>
      </w:r>
      <w:r w:rsidR="006D0837">
        <w:t>l’a</w:t>
      </w:r>
      <w:r w:rsidRPr="0025193D">
        <w:t>nnex</w:t>
      </w:r>
      <w:r w:rsidR="006D0837">
        <w:t>e </w:t>
      </w:r>
      <w:r w:rsidRPr="0025193D">
        <w:t xml:space="preserve">2 </w:t>
      </w:r>
      <w:r w:rsidR="006D0837">
        <w:t xml:space="preserve">du document </w:t>
      </w:r>
      <w:r w:rsidRPr="0025193D">
        <w:t>COM(2020)</w:t>
      </w:r>
      <w:r w:rsidR="006D0837">
        <w:t> </w:t>
      </w:r>
      <w:r w:rsidRPr="0025193D">
        <w:t>950</w:t>
      </w:r>
      <w:r w:rsidR="006D0837">
        <w:t> </w:t>
      </w:r>
      <w:r w:rsidRPr="0025193D">
        <w:t>final</w:t>
      </w:r>
      <w:r w:rsidR="006D0837">
        <w:t>.</w:t>
      </w:r>
    </w:p>
  </w:footnote>
  <w:footnote w:id="22">
    <w:p w:rsidR="00D706CC" w:rsidP="002562E9" w:rsidRDefault="00D706CC">
      <w:pPr>
        <w:pStyle w:val="FootnoteText"/>
        <w:ind w:left="567" w:hanging="567"/>
      </w:pPr>
      <w:r>
        <w:rPr>
          <w:rStyle w:val="FootnoteReference"/>
        </w:rPr>
        <w:footnoteRef/>
      </w:r>
      <w:r>
        <w:tab/>
      </w:r>
      <w:r w:rsidR="00F20133">
        <w:t>Par exemple, s</w:t>
      </w:r>
      <w:r w:rsidRPr="004A7448">
        <w:t>i un exploitant d</w:t>
      </w:r>
      <w:r w:rsidR="00D25294">
        <w:t>’</w:t>
      </w:r>
      <w:r w:rsidRPr="004A7448">
        <w:t>électrolyseurs montre qu</w:t>
      </w:r>
      <w:r w:rsidR="00D25294">
        <w:t>’</w:t>
      </w:r>
      <w:r w:rsidRPr="004A7448">
        <w:t>il reçoit l</w:t>
      </w:r>
      <w:r w:rsidR="00D25294">
        <w:t>’</w:t>
      </w:r>
      <w:r w:rsidRPr="004A7448">
        <w:t>électricité pour l</w:t>
      </w:r>
      <w:r w:rsidR="00D25294">
        <w:t>’</w:t>
      </w:r>
      <w:r w:rsidRPr="004A7448">
        <w:t>électrolyse directement d</w:t>
      </w:r>
      <w:r w:rsidR="00D25294">
        <w:t>’</w:t>
      </w:r>
      <w:r w:rsidRPr="004A7448">
        <w:t>une centrale d</w:t>
      </w:r>
      <w:r w:rsidR="00D25294">
        <w:t>’</w:t>
      </w:r>
      <w:r w:rsidRPr="004A7448">
        <w:t>énergie renouvelable nouvellement construite ou dispose d</w:t>
      </w:r>
      <w:r w:rsidR="00D25294">
        <w:t>’</w:t>
      </w:r>
      <w:r w:rsidRPr="004A7448">
        <w:t>un contrat de fourniture d</w:t>
      </w:r>
      <w:r w:rsidR="00D25294">
        <w:t>’</w:t>
      </w:r>
      <w:r w:rsidRPr="004A7448">
        <w:t>électricité qui n</w:t>
      </w:r>
      <w:r>
        <w:t>’</w:t>
      </w:r>
      <w:r w:rsidRPr="004A7448">
        <w:t>est activé que lorsque le</w:t>
      </w:r>
      <w:r w:rsidR="006D0837">
        <w:t>s</w:t>
      </w:r>
      <w:r w:rsidRPr="004A7448">
        <w:t xml:space="preserve"> prix du marché de gros sont négatifs.</w:t>
      </w:r>
    </w:p>
  </w:footnote>
  <w:footnote w:id="23">
    <w:p w:rsidRPr="00873AAE" w:rsidR="00D706CC" w:rsidP="002562E9" w:rsidRDefault="00D706CC">
      <w:pPr>
        <w:pStyle w:val="FootnoteText"/>
        <w:ind w:left="567" w:hanging="567"/>
      </w:pPr>
      <w:r w:rsidRPr="00202B88">
        <w:footnoteRef/>
      </w:r>
      <w:r w:rsidRPr="00CB5EE2">
        <w:tab/>
        <w:t>Y compris</w:t>
      </w:r>
      <w:r>
        <w:t xml:space="preserve"> les Balkans occidentaux, l’Ukraine et </w:t>
      </w:r>
      <w:r w:rsidRPr="002C57D5">
        <w:t xml:space="preserve">les pays du voisinage </w:t>
      </w:r>
      <w:r w:rsidRPr="00CB5EE2">
        <w:t>méridional.</w:t>
      </w:r>
    </w:p>
  </w:footnote>
  <w:footnote w:id="24">
    <w:p w:rsidRPr="00160404" w:rsidR="00D706CC" w:rsidP="00F027D9" w:rsidRDefault="00D706CC">
      <w:pPr>
        <w:pStyle w:val="FootnoteText"/>
        <w:ind w:left="567" w:hanging="567"/>
      </w:pPr>
      <w:r>
        <w:rPr>
          <w:rStyle w:val="FootnoteReference"/>
        </w:rPr>
        <w:footnoteRef/>
      </w:r>
      <w:r w:rsidRPr="00CB5EE2">
        <w:t xml:space="preserve"> </w:t>
      </w:r>
      <w:r w:rsidRPr="00CB5EE2">
        <w:tab/>
      </w:r>
      <w:r w:rsidRPr="005C6F2C">
        <w:t>Cette dénomination ne saurait être interprétée comme une reconnaissance d</w:t>
      </w:r>
      <w:r>
        <w:t>’</w:t>
      </w:r>
      <w:r w:rsidRPr="005C6F2C">
        <w:t>un État de Palestine et est sans préjudice de la position de chaque État membre sur cette question</w:t>
      </w:r>
      <w:r w:rsidRPr="00CB5EE2">
        <w:t>.</w:t>
      </w:r>
    </w:p>
  </w:footnote>
  <w:footnote w:id="25">
    <w:p w:rsidRPr="00160404" w:rsidR="00D706CC" w:rsidP="00C918B6" w:rsidRDefault="00D706CC">
      <w:pPr>
        <w:pStyle w:val="FootnoteText"/>
        <w:tabs>
          <w:tab w:val="left" w:pos="567"/>
        </w:tabs>
        <w:ind w:left="0" w:firstLine="0"/>
      </w:pPr>
      <w:r w:rsidRPr="002C57D5">
        <w:rPr>
          <w:rStyle w:val="FootnoteReference"/>
        </w:rPr>
        <w:footnoteRef/>
      </w:r>
      <w:r w:rsidRPr="00160404">
        <w:t xml:space="preserve"> </w:t>
      </w:r>
      <w:r w:rsidRPr="00160404">
        <w:tab/>
      </w:r>
      <w:hyperlink w:history="1" r:id="rId9">
        <w:r w:rsidRPr="00160404">
          <w:rPr>
            <w:rStyle w:val="Hyperlink"/>
          </w:rPr>
          <w:t>https://www.irena.org/-/media/Files/IRENA/Agency/Publication/2020/May/SDG7Tracking_Energy_Progress_2020.pdf</w:t>
        </w:r>
      </w:hyperlink>
      <w:r w:rsidRPr="00CB5EE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113A77" w:rsidP="00113A77" w:rsidRDefault="0011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113A77" w:rsidP="00113A77" w:rsidRDefault="0011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113A77" w:rsidP="00113A77" w:rsidRDefault="00113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D706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D706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3A77" w:rsidR="00D706CC" w:rsidP="00113A77" w:rsidRDefault="00D70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CC529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157C25"/>
    <w:multiLevelType w:val="multilevel"/>
    <w:tmpl w:val="EFD418FE"/>
    <w:lvl w:ilvl="0">
      <w:start w:val="2"/>
      <w:numFmt w:val="decimal"/>
      <w:lvlText w:val="%1."/>
      <w:lvlJc w:val="left"/>
      <w:pPr>
        <w:ind w:left="456" w:hanging="456"/>
      </w:pPr>
      <w:rPr>
        <w:rFonts w:hint="default"/>
        <w:b w:val="0"/>
      </w:rPr>
    </w:lvl>
    <w:lvl w:ilvl="1">
      <w:start w:val="1"/>
      <w:numFmt w:val="decimal"/>
      <w:lvlText w:val="%1.%2."/>
      <w:lvlJc w:val="left"/>
      <w:pPr>
        <w:ind w:left="456" w:hanging="45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2A414D2"/>
    <w:multiLevelType w:val="multilevel"/>
    <w:tmpl w:val="0EF05E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C1079"/>
    <w:multiLevelType w:val="multilevel"/>
    <w:tmpl w:val="59207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815E94"/>
    <w:multiLevelType w:val="multilevel"/>
    <w:tmpl w:val="7A4E7D3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E253C7"/>
    <w:multiLevelType w:val="hybridMultilevel"/>
    <w:tmpl w:val="F350D2D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4040"/>
    <w:multiLevelType w:val="multilevel"/>
    <w:tmpl w:val="7A4E7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7208C3"/>
    <w:multiLevelType w:val="hybridMultilevel"/>
    <w:tmpl w:val="17E036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60040"/>
    <w:multiLevelType w:val="multilevel"/>
    <w:tmpl w:val="E990D44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BE38AF"/>
    <w:multiLevelType w:val="hybridMultilevel"/>
    <w:tmpl w:val="DBF86D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7AA09C1"/>
    <w:multiLevelType w:val="multilevel"/>
    <w:tmpl w:val="C8948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248DE"/>
    <w:multiLevelType w:val="multilevel"/>
    <w:tmpl w:val="27B6EB04"/>
    <w:lvl w:ilvl="0">
      <w:start w:val="1"/>
      <w:numFmt w:val="decimal"/>
      <w:lvlText w:val="%1."/>
      <w:lvlJc w:val="left"/>
      <w:pPr>
        <w:ind w:left="720" w:hanging="360"/>
      </w:pPr>
      <w:rPr>
        <w:rFonts w:ascii="Times New Roman" w:eastAsia="Times New Roman" w:hAnsi="Times New Roman" w:cs="Times New Roman" w:hint="default"/>
        <w:b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9660755"/>
    <w:multiLevelType w:val="hybridMultilevel"/>
    <w:tmpl w:val="02A01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A490405"/>
    <w:multiLevelType w:val="multilevel"/>
    <w:tmpl w:val="C5365B98"/>
    <w:lvl w:ilvl="0">
      <w:start w:val="2"/>
      <w:numFmt w:val="decimal"/>
      <w:lvlText w:val="%1."/>
      <w:lvlJc w:val="left"/>
      <w:pPr>
        <w:ind w:left="504" w:hanging="504"/>
      </w:pPr>
      <w:rPr>
        <w:rFonts w:hint="default"/>
        <w:b w:val="0"/>
      </w:rPr>
    </w:lvl>
    <w:lvl w:ilvl="1">
      <w:start w:val="6"/>
      <w:numFmt w:val="decimal"/>
      <w:lvlText w:val="%1.%2."/>
      <w:lvlJc w:val="left"/>
      <w:pPr>
        <w:ind w:left="504" w:hanging="504"/>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1"/>
  </w:num>
  <w:num w:numId="3">
    <w:abstractNumId w:val="9"/>
  </w:num>
  <w:num w:numId="4">
    <w:abstractNumId w:val="12"/>
  </w:num>
  <w:num w:numId="5">
    <w:abstractNumId w:val="4"/>
  </w:num>
  <w:num w:numId="6">
    <w:abstractNumId w:val="2"/>
  </w:num>
  <w:num w:numId="7">
    <w:abstractNumId w:val="3"/>
  </w:num>
  <w:num w:numId="8">
    <w:abstractNumId w:val="1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0"/>
  </w:num>
  <w:num w:numId="20">
    <w:abstractNumId w:val="0"/>
  </w:num>
  <w:num w:numId="21">
    <w:abstractNumId w:val="1"/>
  </w:num>
  <w:num w:numId="22">
    <w:abstractNumId w:val="0"/>
  </w:num>
  <w:num w:numId="23">
    <w:abstractNumId w:val="0"/>
  </w:num>
  <w:num w:numId="24">
    <w:abstractNumId w:val="0"/>
  </w:num>
  <w:num w:numId="25">
    <w:abstractNumId w:val="5"/>
  </w:num>
  <w:num w:numId="26">
    <w:abstractNumId w:val="7"/>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3"/>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1A6"/>
    <w:rsid w:val="00003957"/>
    <w:rsid w:val="00005AB9"/>
    <w:rsid w:val="00005EB9"/>
    <w:rsid w:val="00006E24"/>
    <w:rsid w:val="00007A40"/>
    <w:rsid w:val="00011054"/>
    <w:rsid w:val="00011D33"/>
    <w:rsid w:val="00020E6E"/>
    <w:rsid w:val="00031A4B"/>
    <w:rsid w:val="0003337B"/>
    <w:rsid w:val="00033913"/>
    <w:rsid w:val="00033E5B"/>
    <w:rsid w:val="00034135"/>
    <w:rsid w:val="000357A8"/>
    <w:rsid w:val="0003585C"/>
    <w:rsid w:val="00035D4F"/>
    <w:rsid w:val="000430A6"/>
    <w:rsid w:val="00044923"/>
    <w:rsid w:val="00044C9D"/>
    <w:rsid w:val="00047A20"/>
    <w:rsid w:val="0005249C"/>
    <w:rsid w:val="000534A5"/>
    <w:rsid w:val="00053F82"/>
    <w:rsid w:val="0005680D"/>
    <w:rsid w:val="00057781"/>
    <w:rsid w:val="00063FB4"/>
    <w:rsid w:val="0006793E"/>
    <w:rsid w:val="00071BC2"/>
    <w:rsid w:val="00072188"/>
    <w:rsid w:val="00072E0F"/>
    <w:rsid w:val="000735E5"/>
    <w:rsid w:val="0007392F"/>
    <w:rsid w:val="00087B39"/>
    <w:rsid w:val="00096502"/>
    <w:rsid w:val="00097BC6"/>
    <w:rsid w:val="000A49BB"/>
    <w:rsid w:val="000C0F9D"/>
    <w:rsid w:val="000C3441"/>
    <w:rsid w:val="000C7F53"/>
    <w:rsid w:val="000D2F8E"/>
    <w:rsid w:val="000D5195"/>
    <w:rsid w:val="000E6A87"/>
    <w:rsid w:val="000F196B"/>
    <w:rsid w:val="000F5246"/>
    <w:rsid w:val="00105361"/>
    <w:rsid w:val="001101F8"/>
    <w:rsid w:val="0011206F"/>
    <w:rsid w:val="00113A77"/>
    <w:rsid w:val="0011656A"/>
    <w:rsid w:val="0012220C"/>
    <w:rsid w:val="00124E9F"/>
    <w:rsid w:val="00126290"/>
    <w:rsid w:val="00136A9A"/>
    <w:rsid w:val="00136EA3"/>
    <w:rsid w:val="00137575"/>
    <w:rsid w:val="00144231"/>
    <w:rsid w:val="001453CE"/>
    <w:rsid w:val="00146641"/>
    <w:rsid w:val="00150434"/>
    <w:rsid w:val="00155721"/>
    <w:rsid w:val="00160404"/>
    <w:rsid w:val="00162A45"/>
    <w:rsid w:val="0016503F"/>
    <w:rsid w:val="00165836"/>
    <w:rsid w:val="0016674F"/>
    <w:rsid w:val="00167731"/>
    <w:rsid w:val="00167CA0"/>
    <w:rsid w:val="0017120D"/>
    <w:rsid w:val="001714F6"/>
    <w:rsid w:val="00176168"/>
    <w:rsid w:val="00177158"/>
    <w:rsid w:val="0017738E"/>
    <w:rsid w:val="001808A5"/>
    <w:rsid w:val="00184FD4"/>
    <w:rsid w:val="00186B04"/>
    <w:rsid w:val="00186F1E"/>
    <w:rsid w:val="00190836"/>
    <w:rsid w:val="00193930"/>
    <w:rsid w:val="001963A5"/>
    <w:rsid w:val="00196F1E"/>
    <w:rsid w:val="00197DBF"/>
    <w:rsid w:val="00197FCA"/>
    <w:rsid w:val="001A27DB"/>
    <w:rsid w:val="001A6852"/>
    <w:rsid w:val="001B286A"/>
    <w:rsid w:val="001B2D02"/>
    <w:rsid w:val="001B3647"/>
    <w:rsid w:val="001B77FA"/>
    <w:rsid w:val="001C0ABE"/>
    <w:rsid w:val="001C5852"/>
    <w:rsid w:val="001C7EFB"/>
    <w:rsid w:val="001D45F0"/>
    <w:rsid w:val="001E0CB2"/>
    <w:rsid w:val="001E4A33"/>
    <w:rsid w:val="001E5C27"/>
    <w:rsid w:val="001F602B"/>
    <w:rsid w:val="001F6AC8"/>
    <w:rsid w:val="0020084D"/>
    <w:rsid w:val="00201F3A"/>
    <w:rsid w:val="00202B88"/>
    <w:rsid w:val="002037D5"/>
    <w:rsid w:val="00203DED"/>
    <w:rsid w:val="00206F90"/>
    <w:rsid w:val="00210360"/>
    <w:rsid w:val="00212B03"/>
    <w:rsid w:val="002131AE"/>
    <w:rsid w:val="00215C10"/>
    <w:rsid w:val="00215C2D"/>
    <w:rsid w:val="0022054D"/>
    <w:rsid w:val="00220D36"/>
    <w:rsid w:val="002252C4"/>
    <w:rsid w:val="002276E1"/>
    <w:rsid w:val="00227D4F"/>
    <w:rsid w:val="0023183E"/>
    <w:rsid w:val="00235138"/>
    <w:rsid w:val="00242DBF"/>
    <w:rsid w:val="00243E36"/>
    <w:rsid w:val="00244D33"/>
    <w:rsid w:val="0024540B"/>
    <w:rsid w:val="00245EF4"/>
    <w:rsid w:val="00247104"/>
    <w:rsid w:val="00250E11"/>
    <w:rsid w:val="00251383"/>
    <w:rsid w:val="0025193D"/>
    <w:rsid w:val="002522C9"/>
    <w:rsid w:val="00252A21"/>
    <w:rsid w:val="00253E4F"/>
    <w:rsid w:val="002542E4"/>
    <w:rsid w:val="002562E9"/>
    <w:rsid w:val="00261053"/>
    <w:rsid w:val="0026245C"/>
    <w:rsid w:val="00262FDE"/>
    <w:rsid w:val="00263295"/>
    <w:rsid w:val="00263629"/>
    <w:rsid w:val="00272583"/>
    <w:rsid w:val="00274278"/>
    <w:rsid w:val="002769BD"/>
    <w:rsid w:val="00276A75"/>
    <w:rsid w:val="002809EA"/>
    <w:rsid w:val="00284962"/>
    <w:rsid w:val="00287B0E"/>
    <w:rsid w:val="002910FA"/>
    <w:rsid w:val="002A0B53"/>
    <w:rsid w:val="002A0EEF"/>
    <w:rsid w:val="002B22AF"/>
    <w:rsid w:val="002B2DF7"/>
    <w:rsid w:val="002B7D69"/>
    <w:rsid w:val="002C042D"/>
    <w:rsid w:val="002C3BF4"/>
    <w:rsid w:val="002C57D5"/>
    <w:rsid w:val="002C749F"/>
    <w:rsid w:val="002D1723"/>
    <w:rsid w:val="002E22D8"/>
    <w:rsid w:val="002E530F"/>
    <w:rsid w:val="002E7B33"/>
    <w:rsid w:val="002F059B"/>
    <w:rsid w:val="002F5B0B"/>
    <w:rsid w:val="00300924"/>
    <w:rsid w:val="00300B2B"/>
    <w:rsid w:val="0030596E"/>
    <w:rsid w:val="003073C3"/>
    <w:rsid w:val="00323637"/>
    <w:rsid w:val="00324E8A"/>
    <w:rsid w:val="003253ED"/>
    <w:rsid w:val="00325B1E"/>
    <w:rsid w:val="00331D87"/>
    <w:rsid w:val="003326E9"/>
    <w:rsid w:val="00332850"/>
    <w:rsid w:val="00334478"/>
    <w:rsid w:val="003346B4"/>
    <w:rsid w:val="00334AE6"/>
    <w:rsid w:val="003365D0"/>
    <w:rsid w:val="003439AB"/>
    <w:rsid w:val="0035034C"/>
    <w:rsid w:val="00354695"/>
    <w:rsid w:val="0035549B"/>
    <w:rsid w:val="0036041E"/>
    <w:rsid w:val="0036397C"/>
    <w:rsid w:val="00372135"/>
    <w:rsid w:val="003755C8"/>
    <w:rsid w:val="00375687"/>
    <w:rsid w:val="00380AE0"/>
    <w:rsid w:val="00383324"/>
    <w:rsid w:val="00383B41"/>
    <w:rsid w:val="00387A75"/>
    <w:rsid w:val="003904FD"/>
    <w:rsid w:val="00394254"/>
    <w:rsid w:val="003A3939"/>
    <w:rsid w:val="003A4DD9"/>
    <w:rsid w:val="003B485C"/>
    <w:rsid w:val="003B4A09"/>
    <w:rsid w:val="003B5483"/>
    <w:rsid w:val="003C2BFB"/>
    <w:rsid w:val="003C436B"/>
    <w:rsid w:val="003C5337"/>
    <w:rsid w:val="003C5F92"/>
    <w:rsid w:val="003D7A8C"/>
    <w:rsid w:val="003D7C00"/>
    <w:rsid w:val="003E56E5"/>
    <w:rsid w:val="003E680A"/>
    <w:rsid w:val="003E7E60"/>
    <w:rsid w:val="003F00D4"/>
    <w:rsid w:val="003F2209"/>
    <w:rsid w:val="003F3D39"/>
    <w:rsid w:val="003F646A"/>
    <w:rsid w:val="003F6761"/>
    <w:rsid w:val="003F6A0A"/>
    <w:rsid w:val="004024F5"/>
    <w:rsid w:val="00402DE1"/>
    <w:rsid w:val="00403D8B"/>
    <w:rsid w:val="004057F3"/>
    <w:rsid w:val="004058F1"/>
    <w:rsid w:val="0040628D"/>
    <w:rsid w:val="00407E7D"/>
    <w:rsid w:val="00410C3A"/>
    <w:rsid w:val="0041283D"/>
    <w:rsid w:val="00413AB4"/>
    <w:rsid w:val="004146F0"/>
    <w:rsid w:val="004158AF"/>
    <w:rsid w:val="00421373"/>
    <w:rsid w:val="00421FB7"/>
    <w:rsid w:val="00422BF4"/>
    <w:rsid w:val="0042763B"/>
    <w:rsid w:val="00430072"/>
    <w:rsid w:val="0043024C"/>
    <w:rsid w:val="00434BA3"/>
    <w:rsid w:val="00436706"/>
    <w:rsid w:val="00443D38"/>
    <w:rsid w:val="00450E7A"/>
    <w:rsid w:val="00454579"/>
    <w:rsid w:val="00456AF8"/>
    <w:rsid w:val="00463071"/>
    <w:rsid w:val="00464930"/>
    <w:rsid w:val="00466FB4"/>
    <w:rsid w:val="00470B15"/>
    <w:rsid w:val="00472511"/>
    <w:rsid w:val="00475869"/>
    <w:rsid w:val="00475A77"/>
    <w:rsid w:val="00475D38"/>
    <w:rsid w:val="004866A9"/>
    <w:rsid w:val="00491E0D"/>
    <w:rsid w:val="00492774"/>
    <w:rsid w:val="00496D7A"/>
    <w:rsid w:val="004A31BC"/>
    <w:rsid w:val="004A3F1A"/>
    <w:rsid w:val="004A3F45"/>
    <w:rsid w:val="004A7448"/>
    <w:rsid w:val="004B1AFA"/>
    <w:rsid w:val="004B60BF"/>
    <w:rsid w:val="004B7088"/>
    <w:rsid w:val="004C4D12"/>
    <w:rsid w:val="004C5B76"/>
    <w:rsid w:val="004D02CD"/>
    <w:rsid w:val="004D0B24"/>
    <w:rsid w:val="004D224F"/>
    <w:rsid w:val="004D4B90"/>
    <w:rsid w:val="004D677D"/>
    <w:rsid w:val="004D6B95"/>
    <w:rsid w:val="004D7F41"/>
    <w:rsid w:val="004E03A2"/>
    <w:rsid w:val="004E2486"/>
    <w:rsid w:val="004E317E"/>
    <w:rsid w:val="004E3954"/>
    <w:rsid w:val="004E3D47"/>
    <w:rsid w:val="004E5856"/>
    <w:rsid w:val="004E63AE"/>
    <w:rsid w:val="004E70D8"/>
    <w:rsid w:val="004F21BF"/>
    <w:rsid w:val="004F2330"/>
    <w:rsid w:val="004F53C6"/>
    <w:rsid w:val="004F55C6"/>
    <w:rsid w:val="004F69DB"/>
    <w:rsid w:val="004F6B87"/>
    <w:rsid w:val="00501C2D"/>
    <w:rsid w:val="00502637"/>
    <w:rsid w:val="00503E05"/>
    <w:rsid w:val="0050524D"/>
    <w:rsid w:val="0050578F"/>
    <w:rsid w:val="00511140"/>
    <w:rsid w:val="0051182E"/>
    <w:rsid w:val="00513C19"/>
    <w:rsid w:val="00513CFE"/>
    <w:rsid w:val="00523B6A"/>
    <w:rsid w:val="00525F6C"/>
    <w:rsid w:val="00531D6B"/>
    <w:rsid w:val="00532D0E"/>
    <w:rsid w:val="00541993"/>
    <w:rsid w:val="00546AB4"/>
    <w:rsid w:val="005514E5"/>
    <w:rsid w:val="00563C84"/>
    <w:rsid w:val="005762F6"/>
    <w:rsid w:val="00584FBE"/>
    <w:rsid w:val="00585483"/>
    <w:rsid w:val="00587378"/>
    <w:rsid w:val="00587C05"/>
    <w:rsid w:val="00590AAB"/>
    <w:rsid w:val="005917E0"/>
    <w:rsid w:val="005938C3"/>
    <w:rsid w:val="0059468C"/>
    <w:rsid w:val="0059495D"/>
    <w:rsid w:val="00595125"/>
    <w:rsid w:val="00596F21"/>
    <w:rsid w:val="005A3A86"/>
    <w:rsid w:val="005A4D6E"/>
    <w:rsid w:val="005B08CE"/>
    <w:rsid w:val="005B1CDD"/>
    <w:rsid w:val="005B1E19"/>
    <w:rsid w:val="005B33B5"/>
    <w:rsid w:val="005B3BF0"/>
    <w:rsid w:val="005B55FC"/>
    <w:rsid w:val="005C2D5E"/>
    <w:rsid w:val="005C3B81"/>
    <w:rsid w:val="005C650C"/>
    <w:rsid w:val="005C6F2C"/>
    <w:rsid w:val="005D086C"/>
    <w:rsid w:val="005D11D3"/>
    <w:rsid w:val="005D4E1F"/>
    <w:rsid w:val="005D4FB3"/>
    <w:rsid w:val="005E1F6F"/>
    <w:rsid w:val="005E2F07"/>
    <w:rsid w:val="005E2FEA"/>
    <w:rsid w:val="005E3517"/>
    <w:rsid w:val="005F314B"/>
    <w:rsid w:val="00606E82"/>
    <w:rsid w:val="00611AF2"/>
    <w:rsid w:val="0061212B"/>
    <w:rsid w:val="006127AF"/>
    <w:rsid w:val="006133F7"/>
    <w:rsid w:val="00613A98"/>
    <w:rsid w:val="00615FB2"/>
    <w:rsid w:val="00617BD1"/>
    <w:rsid w:val="00617CE8"/>
    <w:rsid w:val="006278A0"/>
    <w:rsid w:val="0063095F"/>
    <w:rsid w:val="00631CBD"/>
    <w:rsid w:val="00635F0D"/>
    <w:rsid w:val="00636333"/>
    <w:rsid w:val="0063704F"/>
    <w:rsid w:val="00642E99"/>
    <w:rsid w:val="006448CA"/>
    <w:rsid w:val="00646AC2"/>
    <w:rsid w:val="00646F2E"/>
    <w:rsid w:val="00647CBC"/>
    <w:rsid w:val="00650390"/>
    <w:rsid w:val="006517B1"/>
    <w:rsid w:val="00654DAB"/>
    <w:rsid w:val="00655E9A"/>
    <w:rsid w:val="00661927"/>
    <w:rsid w:val="0066204A"/>
    <w:rsid w:val="00670240"/>
    <w:rsid w:val="00670E3C"/>
    <w:rsid w:val="00677F57"/>
    <w:rsid w:val="00680970"/>
    <w:rsid w:val="00681088"/>
    <w:rsid w:val="006905CB"/>
    <w:rsid w:val="00693040"/>
    <w:rsid w:val="0069460F"/>
    <w:rsid w:val="0069577E"/>
    <w:rsid w:val="00695D26"/>
    <w:rsid w:val="0069634B"/>
    <w:rsid w:val="00696623"/>
    <w:rsid w:val="006A04E9"/>
    <w:rsid w:val="006A4A03"/>
    <w:rsid w:val="006A7543"/>
    <w:rsid w:val="006B725C"/>
    <w:rsid w:val="006C273D"/>
    <w:rsid w:val="006C3BA1"/>
    <w:rsid w:val="006C5C4F"/>
    <w:rsid w:val="006C6282"/>
    <w:rsid w:val="006C762A"/>
    <w:rsid w:val="006D0837"/>
    <w:rsid w:val="006D1B23"/>
    <w:rsid w:val="006D5EBE"/>
    <w:rsid w:val="006D5FF9"/>
    <w:rsid w:val="006E0772"/>
    <w:rsid w:val="006E0F86"/>
    <w:rsid w:val="006E7D7C"/>
    <w:rsid w:val="006F0B15"/>
    <w:rsid w:val="006F0DCC"/>
    <w:rsid w:val="006F60ED"/>
    <w:rsid w:val="007002E5"/>
    <w:rsid w:val="00703DF9"/>
    <w:rsid w:val="007048EB"/>
    <w:rsid w:val="00704FBB"/>
    <w:rsid w:val="0070726A"/>
    <w:rsid w:val="0071226B"/>
    <w:rsid w:val="00715647"/>
    <w:rsid w:val="00717040"/>
    <w:rsid w:val="00726F23"/>
    <w:rsid w:val="00730A92"/>
    <w:rsid w:val="00732C7B"/>
    <w:rsid w:val="00735944"/>
    <w:rsid w:val="007433E3"/>
    <w:rsid w:val="00754C48"/>
    <w:rsid w:val="007622A7"/>
    <w:rsid w:val="00772E67"/>
    <w:rsid w:val="007750A2"/>
    <w:rsid w:val="00775AB4"/>
    <w:rsid w:val="00776758"/>
    <w:rsid w:val="00780E50"/>
    <w:rsid w:val="007817D6"/>
    <w:rsid w:val="00781E1C"/>
    <w:rsid w:val="00783CE9"/>
    <w:rsid w:val="007845EB"/>
    <w:rsid w:val="00787912"/>
    <w:rsid w:val="0079177A"/>
    <w:rsid w:val="00794836"/>
    <w:rsid w:val="007948D5"/>
    <w:rsid w:val="00796E62"/>
    <w:rsid w:val="00797405"/>
    <w:rsid w:val="007A15C9"/>
    <w:rsid w:val="007A6676"/>
    <w:rsid w:val="007B313F"/>
    <w:rsid w:val="007B5B04"/>
    <w:rsid w:val="007B7FF5"/>
    <w:rsid w:val="007C3FC6"/>
    <w:rsid w:val="007D2CE9"/>
    <w:rsid w:val="007D4FED"/>
    <w:rsid w:val="007D62C4"/>
    <w:rsid w:val="007D69DA"/>
    <w:rsid w:val="007D70B1"/>
    <w:rsid w:val="007D7140"/>
    <w:rsid w:val="007E1CDB"/>
    <w:rsid w:val="007E408C"/>
    <w:rsid w:val="007E54C2"/>
    <w:rsid w:val="007E7E21"/>
    <w:rsid w:val="007F0460"/>
    <w:rsid w:val="007F0DA2"/>
    <w:rsid w:val="007F1460"/>
    <w:rsid w:val="007F39CE"/>
    <w:rsid w:val="007F3E47"/>
    <w:rsid w:val="007F5128"/>
    <w:rsid w:val="007F5E0D"/>
    <w:rsid w:val="00801085"/>
    <w:rsid w:val="00801A89"/>
    <w:rsid w:val="008053E9"/>
    <w:rsid w:val="0080725A"/>
    <w:rsid w:val="00812138"/>
    <w:rsid w:val="008144C3"/>
    <w:rsid w:val="008151F2"/>
    <w:rsid w:val="00816936"/>
    <w:rsid w:val="0081777A"/>
    <w:rsid w:val="00817CC9"/>
    <w:rsid w:val="008210E0"/>
    <w:rsid w:val="00824079"/>
    <w:rsid w:val="00825E01"/>
    <w:rsid w:val="00831F0A"/>
    <w:rsid w:val="00833A78"/>
    <w:rsid w:val="00834852"/>
    <w:rsid w:val="00835655"/>
    <w:rsid w:val="00837757"/>
    <w:rsid w:val="0084419D"/>
    <w:rsid w:val="0084546F"/>
    <w:rsid w:val="0084585F"/>
    <w:rsid w:val="00853E53"/>
    <w:rsid w:val="0085535C"/>
    <w:rsid w:val="00864D76"/>
    <w:rsid w:val="008656C9"/>
    <w:rsid w:val="00865821"/>
    <w:rsid w:val="0086711C"/>
    <w:rsid w:val="00867535"/>
    <w:rsid w:val="00873AAE"/>
    <w:rsid w:val="00875C5B"/>
    <w:rsid w:val="00880CA4"/>
    <w:rsid w:val="00883C5F"/>
    <w:rsid w:val="00890A34"/>
    <w:rsid w:val="00890CDA"/>
    <w:rsid w:val="00891C7D"/>
    <w:rsid w:val="00892FA7"/>
    <w:rsid w:val="008970AA"/>
    <w:rsid w:val="008A3301"/>
    <w:rsid w:val="008A4DF1"/>
    <w:rsid w:val="008A5636"/>
    <w:rsid w:val="008B125E"/>
    <w:rsid w:val="008B241C"/>
    <w:rsid w:val="008B408B"/>
    <w:rsid w:val="008B4F11"/>
    <w:rsid w:val="008C2362"/>
    <w:rsid w:val="008C3049"/>
    <w:rsid w:val="008C66FF"/>
    <w:rsid w:val="008D2B73"/>
    <w:rsid w:val="008D4AE9"/>
    <w:rsid w:val="008D5CF3"/>
    <w:rsid w:val="008D7D39"/>
    <w:rsid w:val="008E1EFD"/>
    <w:rsid w:val="008E4574"/>
    <w:rsid w:val="008F2B64"/>
    <w:rsid w:val="008F4016"/>
    <w:rsid w:val="008F42FE"/>
    <w:rsid w:val="008F4A00"/>
    <w:rsid w:val="008F5402"/>
    <w:rsid w:val="0090053A"/>
    <w:rsid w:val="00901C2A"/>
    <w:rsid w:val="009118C7"/>
    <w:rsid w:val="0091210C"/>
    <w:rsid w:val="0091433E"/>
    <w:rsid w:val="00917794"/>
    <w:rsid w:val="009225B6"/>
    <w:rsid w:val="00925397"/>
    <w:rsid w:val="00933A21"/>
    <w:rsid w:val="00934C10"/>
    <w:rsid w:val="0093662A"/>
    <w:rsid w:val="0094060C"/>
    <w:rsid w:val="009420DA"/>
    <w:rsid w:val="00942C4B"/>
    <w:rsid w:val="00944196"/>
    <w:rsid w:val="00945161"/>
    <w:rsid w:val="00947BD0"/>
    <w:rsid w:val="00952E8D"/>
    <w:rsid w:val="009606A5"/>
    <w:rsid w:val="00961BCE"/>
    <w:rsid w:val="00962F1F"/>
    <w:rsid w:val="00965304"/>
    <w:rsid w:val="009664CA"/>
    <w:rsid w:val="00967A62"/>
    <w:rsid w:val="00971293"/>
    <w:rsid w:val="00973A3B"/>
    <w:rsid w:val="009750B6"/>
    <w:rsid w:val="0097732C"/>
    <w:rsid w:val="00983EAE"/>
    <w:rsid w:val="0098760B"/>
    <w:rsid w:val="009906EB"/>
    <w:rsid w:val="009A11DD"/>
    <w:rsid w:val="009B30AA"/>
    <w:rsid w:val="009B5217"/>
    <w:rsid w:val="009C268F"/>
    <w:rsid w:val="009C48DE"/>
    <w:rsid w:val="009D3D04"/>
    <w:rsid w:val="009D60D9"/>
    <w:rsid w:val="009E1E1E"/>
    <w:rsid w:val="009E33E3"/>
    <w:rsid w:val="009E63E9"/>
    <w:rsid w:val="009E7F16"/>
    <w:rsid w:val="009F4D19"/>
    <w:rsid w:val="009F5052"/>
    <w:rsid w:val="009F62FB"/>
    <w:rsid w:val="009F6B3F"/>
    <w:rsid w:val="00A01DCB"/>
    <w:rsid w:val="00A03083"/>
    <w:rsid w:val="00A04C85"/>
    <w:rsid w:val="00A071D1"/>
    <w:rsid w:val="00A100F0"/>
    <w:rsid w:val="00A12B64"/>
    <w:rsid w:val="00A156E6"/>
    <w:rsid w:val="00A177C5"/>
    <w:rsid w:val="00A260D6"/>
    <w:rsid w:val="00A27D86"/>
    <w:rsid w:val="00A30A3D"/>
    <w:rsid w:val="00A321E2"/>
    <w:rsid w:val="00A33151"/>
    <w:rsid w:val="00A36970"/>
    <w:rsid w:val="00A41EB4"/>
    <w:rsid w:val="00A4242A"/>
    <w:rsid w:val="00A44828"/>
    <w:rsid w:val="00A44BFF"/>
    <w:rsid w:val="00A501E3"/>
    <w:rsid w:val="00A50F0C"/>
    <w:rsid w:val="00A56441"/>
    <w:rsid w:val="00A5750A"/>
    <w:rsid w:val="00A656EC"/>
    <w:rsid w:val="00A736DD"/>
    <w:rsid w:val="00A82869"/>
    <w:rsid w:val="00A85630"/>
    <w:rsid w:val="00A86881"/>
    <w:rsid w:val="00A8758C"/>
    <w:rsid w:val="00A9107C"/>
    <w:rsid w:val="00A910FB"/>
    <w:rsid w:val="00A97DF0"/>
    <w:rsid w:val="00AA127E"/>
    <w:rsid w:val="00AA19AE"/>
    <w:rsid w:val="00AA2C91"/>
    <w:rsid w:val="00AA423D"/>
    <w:rsid w:val="00AA6A95"/>
    <w:rsid w:val="00AB10DE"/>
    <w:rsid w:val="00AB3612"/>
    <w:rsid w:val="00AB3668"/>
    <w:rsid w:val="00AB5ED7"/>
    <w:rsid w:val="00AC0B4C"/>
    <w:rsid w:val="00AC15EF"/>
    <w:rsid w:val="00AC29C2"/>
    <w:rsid w:val="00AC64EF"/>
    <w:rsid w:val="00AC6B4B"/>
    <w:rsid w:val="00AD0AEE"/>
    <w:rsid w:val="00AD49E3"/>
    <w:rsid w:val="00AD4B4F"/>
    <w:rsid w:val="00AE47DE"/>
    <w:rsid w:val="00AF0616"/>
    <w:rsid w:val="00AF0E28"/>
    <w:rsid w:val="00AF6F9B"/>
    <w:rsid w:val="00B01409"/>
    <w:rsid w:val="00B0155F"/>
    <w:rsid w:val="00B10DBD"/>
    <w:rsid w:val="00B15629"/>
    <w:rsid w:val="00B22B76"/>
    <w:rsid w:val="00B2372C"/>
    <w:rsid w:val="00B32F70"/>
    <w:rsid w:val="00B373D0"/>
    <w:rsid w:val="00B40039"/>
    <w:rsid w:val="00B43AAA"/>
    <w:rsid w:val="00B524FA"/>
    <w:rsid w:val="00B53139"/>
    <w:rsid w:val="00B54BD6"/>
    <w:rsid w:val="00B562CE"/>
    <w:rsid w:val="00B627A2"/>
    <w:rsid w:val="00B62B56"/>
    <w:rsid w:val="00B62DE2"/>
    <w:rsid w:val="00B74417"/>
    <w:rsid w:val="00B77246"/>
    <w:rsid w:val="00B77D63"/>
    <w:rsid w:val="00B82D36"/>
    <w:rsid w:val="00B866CD"/>
    <w:rsid w:val="00B93034"/>
    <w:rsid w:val="00B934EA"/>
    <w:rsid w:val="00B944D4"/>
    <w:rsid w:val="00B94F17"/>
    <w:rsid w:val="00B955B1"/>
    <w:rsid w:val="00B97C5D"/>
    <w:rsid w:val="00BA1290"/>
    <w:rsid w:val="00BB0804"/>
    <w:rsid w:val="00BB2792"/>
    <w:rsid w:val="00BB76BF"/>
    <w:rsid w:val="00BC1AD1"/>
    <w:rsid w:val="00BC4A58"/>
    <w:rsid w:val="00BC613B"/>
    <w:rsid w:val="00BC7344"/>
    <w:rsid w:val="00BD51D9"/>
    <w:rsid w:val="00BD64E2"/>
    <w:rsid w:val="00BE0C64"/>
    <w:rsid w:val="00BE4995"/>
    <w:rsid w:val="00BF429A"/>
    <w:rsid w:val="00BF62BE"/>
    <w:rsid w:val="00BF7B57"/>
    <w:rsid w:val="00C06009"/>
    <w:rsid w:val="00C07126"/>
    <w:rsid w:val="00C14D6A"/>
    <w:rsid w:val="00C16853"/>
    <w:rsid w:val="00C263F0"/>
    <w:rsid w:val="00C33D41"/>
    <w:rsid w:val="00C40AFD"/>
    <w:rsid w:val="00C41E20"/>
    <w:rsid w:val="00C42E3E"/>
    <w:rsid w:val="00C51C13"/>
    <w:rsid w:val="00C525A5"/>
    <w:rsid w:val="00C52B55"/>
    <w:rsid w:val="00C5300F"/>
    <w:rsid w:val="00C54594"/>
    <w:rsid w:val="00C6434B"/>
    <w:rsid w:val="00C65DF0"/>
    <w:rsid w:val="00C66CE0"/>
    <w:rsid w:val="00C71BED"/>
    <w:rsid w:val="00C737B2"/>
    <w:rsid w:val="00C80068"/>
    <w:rsid w:val="00C81B53"/>
    <w:rsid w:val="00C82AD2"/>
    <w:rsid w:val="00C83762"/>
    <w:rsid w:val="00C90FB6"/>
    <w:rsid w:val="00C918B6"/>
    <w:rsid w:val="00C9220E"/>
    <w:rsid w:val="00C932BD"/>
    <w:rsid w:val="00C93429"/>
    <w:rsid w:val="00C951A6"/>
    <w:rsid w:val="00CA05F9"/>
    <w:rsid w:val="00CA16C5"/>
    <w:rsid w:val="00CA39F5"/>
    <w:rsid w:val="00CA415A"/>
    <w:rsid w:val="00CA54C9"/>
    <w:rsid w:val="00CA7A35"/>
    <w:rsid w:val="00CA7B92"/>
    <w:rsid w:val="00CB143F"/>
    <w:rsid w:val="00CB1536"/>
    <w:rsid w:val="00CB5EE2"/>
    <w:rsid w:val="00CB7FB8"/>
    <w:rsid w:val="00CC1F71"/>
    <w:rsid w:val="00CC5588"/>
    <w:rsid w:val="00CC5EB3"/>
    <w:rsid w:val="00CD0E7B"/>
    <w:rsid w:val="00CD2ABD"/>
    <w:rsid w:val="00CD4024"/>
    <w:rsid w:val="00CD4617"/>
    <w:rsid w:val="00CD4855"/>
    <w:rsid w:val="00CE6B16"/>
    <w:rsid w:val="00CE6D43"/>
    <w:rsid w:val="00CE7888"/>
    <w:rsid w:val="00CF2184"/>
    <w:rsid w:val="00CF3243"/>
    <w:rsid w:val="00CF7880"/>
    <w:rsid w:val="00D03125"/>
    <w:rsid w:val="00D10B7A"/>
    <w:rsid w:val="00D10E1C"/>
    <w:rsid w:val="00D11D1C"/>
    <w:rsid w:val="00D136A7"/>
    <w:rsid w:val="00D161A3"/>
    <w:rsid w:val="00D22E49"/>
    <w:rsid w:val="00D23716"/>
    <w:rsid w:val="00D25294"/>
    <w:rsid w:val="00D25ED8"/>
    <w:rsid w:val="00D27DAD"/>
    <w:rsid w:val="00D27F8F"/>
    <w:rsid w:val="00D316B8"/>
    <w:rsid w:val="00D31CFC"/>
    <w:rsid w:val="00D3255D"/>
    <w:rsid w:val="00D340C3"/>
    <w:rsid w:val="00D409CD"/>
    <w:rsid w:val="00D423D4"/>
    <w:rsid w:val="00D42CAF"/>
    <w:rsid w:val="00D45F51"/>
    <w:rsid w:val="00D5310F"/>
    <w:rsid w:val="00D601EF"/>
    <w:rsid w:val="00D60537"/>
    <w:rsid w:val="00D61533"/>
    <w:rsid w:val="00D63B2F"/>
    <w:rsid w:val="00D6529A"/>
    <w:rsid w:val="00D706CC"/>
    <w:rsid w:val="00D70747"/>
    <w:rsid w:val="00D7261D"/>
    <w:rsid w:val="00D755FC"/>
    <w:rsid w:val="00D76B6D"/>
    <w:rsid w:val="00D84D07"/>
    <w:rsid w:val="00D8526A"/>
    <w:rsid w:val="00D901AD"/>
    <w:rsid w:val="00D90E91"/>
    <w:rsid w:val="00DA2818"/>
    <w:rsid w:val="00DA4AAA"/>
    <w:rsid w:val="00DB58DA"/>
    <w:rsid w:val="00DB60E1"/>
    <w:rsid w:val="00DB6F67"/>
    <w:rsid w:val="00DC11ED"/>
    <w:rsid w:val="00DC1347"/>
    <w:rsid w:val="00DC2D7B"/>
    <w:rsid w:val="00DC39F1"/>
    <w:rsid w:val="00DD193E"/>
    <w:rsid w:val="00DD295E"/>
    <w:rsid w:val="00DD75E9"/>
    <w:rsid w:val="00DD7603"/>
    <w:rsid w:val="00DE06E8"/>
    <w:rsid w:val="00DE4B35"/>
    <w:rsid w:val="00DE6C9C"/>
    <w:rsid w:val="00DE7A7D"/>
    <w:rsid w:val="00DF19C1"/>
    <w:rsid w:val="00DF54CA"/>
    <w:rsid w:val="00DF56C9"/>
    <w:rsid w:val="00DF5B64"/>
    <w:rsid w:val="00DF64E9"/>
    <w:rsid w:val="00E02794"/>
    <w:rsid w:val="00E043E3"/>
    <w:rsid w:val="00E0505B"/>
    <w:rsid w:val="00E0553F"/>
    <w:rsid w:val="00E11280"/>
    <w:rsid w:val="00E12359"/>
    <w:rsid w:val="00E152FF"/>
    <w:rsid w:val="00E2461B"/>
    <w:rsid w:val="00E24886"/>
    <w:rsid w:val="00E276FB"/>
    <w:rsid w:val="00E32595"/>
    <w:rsid w:val="00E32DC6"/>
    <w:rsid w:val="00E32E86"/>
    <w:rsid w:val="00E33A74"/>
    <w:rsid w:val="00E4030B"/>
    <w:rsid w:val="00E41D56"/>
    <w:rsid w:val="00E457DF"/>
    <w:rsid w:val="00E46642"/>
    <w:rsid w:val="00E479EE"/>
    <w:rsid w:val="00E5139A"/>
    <w:rsid w:val="00E540ED"/>
    <w:rsid w:val="00E5413D"/>
    <w:rsid w:val="00E57977"/>
    <w:rsid w:val="00E635D7"/>
    <w:rsid w:val="00E70576"/>
    <w:rsid w:val="00E71DED"/>
    <w:rsid w:val="00E731FF"/>
    <w:rsid w:val="00E74706"/>
    <w:rsid w:val="00E76229"/>
    <w:rsid w:val="00E83954"/>
    <w:rsid w:val="00E90072"/>
    <w:rsid w:val="00E91730"/>
    <w:rsid w:val="00E93A9A"/>
    <w:rsid w:val="00E96F04"/>
    <w:rsid w:val="00E97AEC"/>
    <w:rsid w:val="00EA20FE"/>
    <w:rsid w:val="00EB0FC9"/>
    <w:rsid w:val="00EB491E"/>
    <w:rsid w:val="00EB5654"/>
    <w:rsid w:val="00EB681B"/>
    <w:rsid w:val="00EC07CC"/>
    <w:rsid w:val="00EC4FAD"/>
    <w:rsid w:val="00EC6D58"/>
    <w:rsid w:val="00EE3CFA"/>
    <w:rsid w:val="00EE4C70"/>
    <w:rsid w:val="00EE69E4"/>
    <w:rsid w:val="00EF2A7F"/>
    <w:rsid w:val="00EF7E90"/>
    <w:rsid w:val="00F002B6"/>
    <w:rsid w:val="00F027D9"/>
    <w:rsid w:val="00F05E6D"/>
    <w:rsid w:val="00F07196"/>
    <w:rsid w:val="00F073F4"/>
    <w:rsid w:val="00F10AFE"/>
    <w:rsid w:val="00F152D7"/>
    <w:rsid w:val="00F15C6C"/>
    <w:rsid w:val="00F17173"/>
    <w:rsid w:val="00F20133"/>
    <w:rsid w:val="00F20987"/>
    <w:rsid w:val="00F224DC"/>
    <w:rsid w:val="00F2687F"/>
    <w:rsid w:val="00F26A5E"/>
    <w:rsid w:val="00F27F29"/>
    <w:rsid w:val="00F32D54"/>
    <w:rsid w:val="00F36C54"/>
    <w:rsid w:val="00F37C49"/>
    <w:rsid w:val="00F40E26"/>
    <w:rsid w:val="00F418EA"/>
    <w:rsid w:val="00F41A29"/>
    <w:rsid w:val="00F44AFD"/>
    <w:rsid w:val="00F44C1C"/>
    <w:rsid w:val="00F518DF"/>
    <w:rsid w:val="00F544DB"/>
    <w:rsid w:val="00F57BF3"/>
    <w:rsid w:val="00F61389"/>
    <w:rsid w:val="00F6502E"/>
    <w:rsid w:val="00F65663"/>
    <w:rsid w:val="00F67BA2"/>
    <w:rsid w:val="00F74B77"/>
    <w:rsid w:val="00F75147"/>
    <w:rsid w:val="00F756C0"/>
    <w:rsid w:val="00F75A40"/>
    <w:rsid w:val="00F77637"/>
    <w:rsid w:val="00F838EE"/>
    <w:rsid w:val="00F8435D"/>
    <w:rsid w:val="00F84931"/>
    <w:rsid w:val="00F862E5"/>
    <w:rsid w:val="00F87DD0"/>
    <w:rsid w:val="00F93360"/>
    <w:rsid w:val="00F93FE4"/>
    <w:rsid w:val="00F9752A"/>
    <w:rsid w:val="00F97578"/>
    <w:rsid w:val="00F97E4E"/>
    <w:rsid w:val="00FA1A40"/>
    <w:rsid w:val="00FA217B"/>
    <w:rsid w:val="00FA75B5"/>
    <w:rsid w:val="00FB0BC5"/>
    <w:rsid w:val="00FB0BCC"/>
    <w:rsid w:val="00FC0FE5"/>
    <w:rsid w:val="00FD1ABC"/>
    <w:rsid w:val="00FD7DDF"/>
    <w:rsid w:val="00FE06A2"/>
    <w:rsid w:val="00FE32B2"/>
    <w:rsid w:val="00FE4C92"/>
    <w:rsid w:val="00FF0FAA"/>
    <w:rsid w:val="00FF2AC4"/>
    <w:rsid w:val="00FF3759"/>
    <w:rsid w:val="00FF4396"/>
    <w:rsid w:val="00FF4EA7"/>
    <w:rsid w:val="00FF7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A3751B-F008-4F11-BE5D-FDEFCEE894B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outlineLvl w:val="0"/>
    </w:pPr>
    <w:rPr>
      <w:kern w:val="28"/>
    </w:rPr>
  </w:style>
  <w:style w:type="paragraph" w:styleId="Heading2">
    <w:name w:val="heading 2"/>
    <w:basedOn w:val="Normal"/>
    <w:next w:val="Normal"/>
    <w:link w:val="Heading2Char"/>
    <w:qFormat/>
    <w:rsid w:val="002562E9"/>
    <w:pPr>
      <w:numPr>
        <w:ilvl w:val="1"/>
        <w:numId w:val="1"/>
      </w:numPr>
      <w:ind w:left="567" w:hanging="567"/>
      <w:outlineLvl w:val="1"/>
    </w:pPr>
  </w:style>
  <w:style w:type="paragraph" w:styleId="Heading3">
    <w:name w:val="heading 3"/>
    <w:basedOn w:val="Normal"/>
    <w:next w:val="Normal"/>
    <w:link w:val="Heading3Char"/>
    <w:qFormat/>
    <w:rsid w:val="002562E9"/>
    <w:pPr>
      <w:numPr>
        <w:ilvl w:val="2"/>
        <w:numId w:val="1"/>
      </w:numPr>
      <w:ind w:left="567" w:hanging="567"/>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2562E9"/>
    <w:rPr>
      <w:szCs w:val="20"/>
    </w:rPr>
  </w:style>
  <w:style w:type="character" w:customStyle="1" w:styleId="Heading3Char">
    <w:name w:val="Heading 3 Char"/>
    <w:basedOn w:val="DefaultParagraphFont"/>
    <w:link w:val="Heading3"/>
    <w:locked/>
    <w:rsid w:val="002562E9"/>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uiPriority w:val="99"/>
    <w:qFormat/>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qForma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customStyle="1" w:styleId="Default">
    <w:name w:val="Default"/>
    <w:rsid w:val="00146641"/>
    <w:pPr>
      <w:autoSpaceDE w:val="0"/>
      <w:autoSpaceDN w:val="0"/>
      <w:adjustRightInd w:val="0"/>
    </w:pPr>
    <w:rPr>
      <w:rFonts w:ascii="Myriad Pro SemiCond" w:eastAsiaTheme="minorHAnsi" w:hAnsi="Myriad Pro SemiCond" w:cs="Myriad Pro SemiCond"/>
      <w:color w:val="000000"/>
      <w:sz w:val="24"/>
      <w:szCs w:val="24"/>
      <w:lang w:val="en-GB" w:eastAsia="en-US" w:bidi="ar-SA"/>
    </w:rPr>
  </w:style>
  <w:style w:type="paragraph" w:styleId="ListParagraph">
    <w:name w:val="List Paragraph"/>
    <w:basedOn w:val="Normal"/>
    <w:uiPriority w:val="34"/>
    <w:qFormat/>
    <w:rsid w:val="0014664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eastAsia="en-US" w:bidi="ar-SA"/>
    </w:rPr>
  </w:style>
  <w:style w:type="character" w:styleId="CommentReference">
    <w:name w:val="annotation reference"/>
    <w:basedOn w:val="DefaultParagraphFont"/>
    <w:uiPriority w:val="99"/>
    <w:semiHidden/>
    <w:unhideWhenUsed/>
    <w:rsid w:val="00146641"/>
    <w:rPr>
      <w:sz w:val="16"/>
      <w:szCs w:val="16"/>
    </w:rPr>
  </w:style>
  <w:style w:type="paragraph" w:styleId="CommentText">
    <w:name w:val="annotation text"/>
    <w:basedOn w:val="Normal"/>
    <w:link w:val="CommentTextChar"/>
    <w:uiPriority w:val="99"/>
    <w:unhideWhenUsed/>
    <w:rsid w:val="00146641"/>
    <w:pPr>
      <w:overflowPunct/>
      <w:autoSpaceDE/>
      <w:autoSpaceDN/>
      <w:adjustRightInd/>
      <w:spacing w:after="160" w:line="240" w:lineRule="auto"/>
      <w:jc w:val="left"/>
      <w:textAlignment w:val="auto"/>
    </w:pPr>
    <w:rPr>
      <w:rFonts w:asciiTheme="minorHAnsi" w:eastAsiaTheme="minorHAnsi" w:hAnsiTheme="minorHAnsi" w:cstheme="minorBidi"/>
      <w:sz w:val="20"/>
      <w:lang w:eastAsia="en-US" w:bidi="ar-SA"/>
    </w:rPr>
  </w:style>
  <w:style w:type="character" w:customStyle="1" w:styleId="CommentTextChar">
    <w:name w:val="Comment Text Char"/>
    <w:basedOn w:val="DefaultParagraphFont"/>
    <w:link w:val="CommentText"/>
    <w:uiPriority w:val="99"/>
    <w:rsid w:val="00146641"/>
    <w:rPr>
      <w:rFonts w:asciiTheme="minorHAnsi" w:eastAsiaTheme="minorHAnsi" w:hAnsiTheme="minorHAnsi" w:cstheme="minorBidi"/>
      <w:sz w:val="20"/>
      <w:szCs w:val="20"/>
      <w:lang w:eastAsia="en-US" w:bidi="ar-SA"/>
    </w:rPr>
  </w:style>
  <w:style w:type="paragraph" w:styleId="CommentSubject">
    <w:name w:val="annotation subject"/>
    <w:basedOn w:val="CommentText"/>
    <w:next w:val="CommentText"/>
    <w:link w:val="CommentSubjectChar"/>
    <w:uiPriority w:val="99"/>
    <w:semiHidden/>
    <w:unhideWhenUsed/>
    <w:rsid w:val="009F6B3F"/>
    <w:pPr>
      <w:overflowPunct w:val="0"/>
      <w:autoSpaceDE w:val="0"/>
      <w:autoSpaceDN w:val="0"/>
      <w:adjustRightInd w:val="0"/>
      <w:spacing w:after="0"/>
      <w:jc w:val="both"/>
      <w:textAlignment w:val="baseline"/>
    </w:pPr>
    <w:rPr>
      <w:rFonts w:ascii="Times New Roman" w:eastAsia="Times New Roman" w:hAnsi="Times New Roman" w:cs="Times New Roman"/>
      <w:b/>
      <w:bCs/>
      <w:lang w:eastAsia="fr-FR" w:bidi="fr-FR"/>
    </w:rPr>
  </w:style>
  <w:style w:type="character" w:customStyle="1" w:styleId="CommentSubjectChar">
    <w:name w:val="Comment Subject Char"/>
    <w:basedOn w:val="CommentTextChar"/>
    <w:link w:val="CommentSubject"/>
    <w:uiPriority w:val="99"/>
    <w:semiHidden/>
    <w:rsid w:val="009F6B3F"/>
    <w:rPr>
      <w:rFonts w:asciiTheme="minorHAnsi" w:eastAsiaTheme="minorHAnsi" w:hAnsiTheme="minorHAnsi" w:cstheme="minorBidi"/>
      <w:b/>
      <w:bCs/>
      <w:sz w:val="20"/>
      <w:szCs w:val="20"/>
      <w:lang w:eastAsia="en-US" w:bidi="ar-SA"/>
    </w:rPr>
  </w:style>
  <w:style w:type="character" w:styleId="Emphasis">
    <w:name w:val="Emphasis"/>
    <w:basedOn w:val="DefaultParagraphFont"/>
    <w:uiPriority w:val="20"/>
    <w:qFormat/>
    <w:locked/>
    <w:rsid w:val="009F6B3F"/>
    <w:rPr>
      <w:i/>
      <w:iCs/>
    </w:rPr>
  </w:style>
  <w:style w:type="table" w:styleId="TableGrid">
    <w:name w:val="Table Grid"/>
    <w:basedOn w:val="TableNormal"/>
    <w:locked/>
    <w:rsid w:val="0079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article/abs/pii/S0960148119314168" TargetMode="External"/><Relationship Id="rId3" Type="http://schemas.openxmlformats.org/officeDocument/2006/relationships/hyperlink" Target="https://appsso.eurostat.ec.europa.eu/nui/show.do?dataset=nrg_ind_peh&amp;lang=fr" TargetMode="External"/><Relationship Id="rId7" Type="http://schemas.openxmlformats.org/officeDocument/2006/relationships/hyperlink" Target="https://ec.europa.eu/docsroom/documents/42749/attachments/1/translations/en/renditions/native" TargetMode="External"/><Relationship Id="rId2" Type="http://schemas.openxmlformats.org/officeDocument/2006/relationships/hyperlink" Target="https://ec.europa.eu/eurostat/en/web/products-press-releases/-/2-31072020-BP" TargetMode="External"/><Relationship Id="rId1" Type="http://schemas.openxmlformats.org/officeDocument/2006/relationships/hyperlink" Target="https://ec.europa.eu/eurostat/documents/2995521/10545340/2-14082020-AP-FR.pdf/3e23807a-1dc7-bce3-989d-2ef28dd3503c" TargetMode="External"/><Relationship Id="rId6" Type="http://schemas.openxmlformats.org/officeDocument/2006/relationships/hyperlink" Target="https://www.touteleurope.eu/actualite/les-entreprises-dans-l-union-europeenne.html" TargetMode="External"/><Relationship Id="rId5" Type="http://schemas.openxmlformats.org/officeDocument/2006/relationships/hyperlink" Target="https://www.transportenvironment.org/annual-report-2019/campaigns/trucks.html" TargetMode="External"/><Relationship Id="rId4" Type="http://schemas.openxmlformats.org/officeDocument/2006/relationships/hyperlink" Target="https://eur-lex.europa.eu/legal-content/FR/TXT/?uri=CELEX:52018AE5700" TargetMode="External"/><Relationship Id="rId9" Type="http://schemas.openxmlformats.org/officeDocument/2006/relationships/hyperlink" Target="https://www.irena.org/-/media/Files/IRENA/Agency/Publication/2020/May/SDG7Tracking_Energy_Progress_2020.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VV634QRNENMJ-762678085-7900</_dlc_DocId>
    <_dlc_DocIdUrl xmlns="cda99570-6012-4083-bfeb-7d32ad1ce1a3">
      <Url>http://dm2016/eesc/2020/_layouts/15/DocIdRedir.aspx?ID=VV634QRNENMJ-762678085-7900</Url>
      <Description>VV634QRNENMJ-762678085-7900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2021-02-01T12:00:00+00:00</ProductionDate>
    <FicheYear xmlns="cda99570-6012-4083-bfeb-7d32ad1ce1a3">2020</FicheYear>
    <DocumentNumber xmlns="98af4b3d-0f8e-4839-87de-ec8dfffabf66">3535</DocumentNumber>
    <DocumentVersion xmlns="cda99570-6012-4083-bfeb-7d32ad1ce1a3">0</DocumentVersion>
    <DossierNumber xmlns="cda99570-6012-4083-bfeb-7d32ad1ce1a3">718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69</Value>
      <Value>48</Value>
      <Value>47</Value>
      <Value>46</Value>
      <Value>45</Value>
      <Value>44</Value>
      <Value>43</Value>
      <Value>41</Value>
      <Value>40</Value>
      <Value>39</Value>
      <Value>38</Value>
      <Value>36</Value>
      <Value>34</Value>
      <Value>32</Value>
      <Value>31</Value>
      <Value>30</Value>
      <Value>29</Value>
      <Value>28</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COULON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1320</FicheNumber>
    <DocumentPart xmlns="cda99570-6012-4083-bfeb-7d32ad1ce1a3">0</DocumentPart>
    <AdoptionDate xmlns="cda99570-6012-4083-bfeb-7d32ad1ce1a3">2021-01-27T12:00:00+00:00</AdoptionDat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Props1.xml><?xml version="1.0" encoding="utf-8"?>
<ds:datastoreItem xmlns:ds="http://schemas.openxmlformats.org/officeDocument/2006/customXml" ds:itemID="{04D05D08-D7EF-438A-A850-70EEA1DE6B30}"/>
</file>

<file path=customXml/itemProps2.xml><?xml version="1.0" encoding="utf-8"?>
<ds:datastoreItem xmlns:ds="http://schemas.openxmlformats.org/officeDocument/2006/customXml" ds:itemID="{763C3C2C-80BC-4A71-AAEF-C817A6611586}"/>
</file>

<file path=customXml/itemProps3.xml><?xml version="1.0" encoding="utf-8"?>
<ds:datastoreItem xmlns:ds="http://schemas.openxmlformats.org/officeDocument/2006/customXml" ds:itemID="{28363BFB-04FC-4E69-9474-363D51C1159D}"/>
</file>

<file path=customXml/itemProps4.xml><?xml version="1.0" encoding="utf-8"?>
<ds:datastoreItem xmlns:ds="http://schemas.openxmlformats.org/officeDocument/2006/customXml" ds:itemID="{484FA217-3FA1-443D-9163-42796D1F00E4}"/>
</file>

<file path=docProps/app.xml><?xml version="1.0" encoding="utf-8"?>
<Properties xmlns="http://schemas.openxmlformats.org/officeDocument/2006/extended-properties" xmlns:vt="http://schemas.openxmlformats.org/officeDocument/2006/docPropsVTypes">
  <Template>Styles</Template>
  <TotalTime>0</TotalTime>
  <Pages>1</Pages>
  <Words>4268</Words>
  <Characters>24331</Characters>
  <Application>Microsoft Office Word</Application>
  <DocSecurity>0</DocSecurity>
  <Lines>202</Lines>
  <Paragraphs>57</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Stratégie de lhydrogène</vt:lpstr>
      <vt:lpstr>Stratégie de lhydrogène</vt:lpstr>
      <vt:lpstr>European Agenda on Migration: Second implementation package - A permanent crisis relocation mechanism under the Dublin system</vt:lpstr>
    </vt:vector>
  </TitlesOfParts>
  <Company>CESE-CdR</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lhydrogène</dc:title>
  <dc:subject>Avis comité</dc:subject>
  <dc:creator>Emma Nieddu</dc:creator>
  <cp:keywords>EESC-2020-03535-00-00-AC-TRA-FR</cp:keywords>
  <dc:description>Rapporteur: - COULON Original language: - FR Date of document: - 01/02/2021 Date of meeting: -  External documents: - COM(2020)301 Administrator responsible: -  RIZZI Alessandro</dc:description>
  <cp:lastModifiedBy>TDriveSVCUserProd</cp:lastModifiedBy>
  <cp:revision>4</cp:revision>
  <cp:lastPrinted>2016-01-26T08:31:00Z</cp:lastPrinted>
  <dcterms:created xsi:type="dcterms:W3CDTF">2021-02-01T15:59:00Z</dcterms:created>
  <dcterms:modified xsi:type="dcterms:W3CDTF">2021-02-01T16:01:00Z</dcterms:modified>
  <cp:category>TEN/718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06/01/2021, 04/12/2020, 04/12/2020, 02/12/2020, 23/10/2020, 14/09/2020, 11/09/2020, 04/11/2015, 27/10/2015, 19/10/2015, 09/10/2015, 05/10/2015, 05/10/2015, 26/08/2015, 26/08/2015, 25/08/2015</vt:lpwstr>
  </property>
  <property fmtid="{D5CDD505-2E9C-101B-9397-08002B2CF9AE}" pid="4" name="Pref_Time">
    <vt:lpwstr>16:48:13, 09:00:26, 16:50:33, 08:40:12, 17:35:41, 11:02:23, 15:03:49, 08:54:54, 12:10:07, 14:44:02, 16:04:16, 14:09:30, 16:24:55, 16:04:02, 08:56:14, 07:27:56, 17:31:53</vt:lpwstr>
  </property>
  <property fmtid="{D5CDD505-2E9C-101B-9397-08002B2CF9AE}" pid="5" name="Pref_User">
    <vt:lpwstr>amett, hnic, enied, mkop, amett, hnic, mkop, jhvi, ssex, enied, amett, tvoc, mreg, mreg, amett, enied, ssex</vt:lpwstr>
  </property>
  <property fmtid="{D5CDD505-2E9C-101B-9397-08002B2CF9AE}" pid="6" name="Pref_FileName">
    <vt:lpwstr>EESC-2020-03535-00-00-AC-TRA-FR-CRR.docx, EESC-2020-03535-00-00-AS-TRA-FR-CRR.docx, EESC-2020-03535-00-02-PA-TRA-FR-CRR.docx, EESC-2020-03535-00-01-PA-TRA-FR-CRR.docx, EESC-2020-03535-00-00-PA-TRA-FR-CRR.docx, EESC-2020-03535-00-02-DT-ORI.docx, EESC-2020-</vt:lpwstr>
  </property>
  <property fmtid="{D5CDD505-2E9C-101B-9397-08002B2CF9AE}" pid="7" name="ContentTypeId">
    <vt:lpwstr>0x010100EA97B91038054C99906057A708A1480A00292A099219C5BF43911B0000CE8DBCC8</vt:lpwstr>
  </property>
  <property fmtid="{D5CDD505-2E9C-101B-9397-08002B2CF9AE}" pid="8" name="_dlc_DocIdItemGuid">
    <vt:lpwstr>e9203135-e3e0-4726-8377-e8ecc3f5ea03</vt:lpwstr>
  </property>
  <property fmtid="{D5CDD505-2E9C-101B-9397-08002B2CF9AE}" pid="9" name="AvailableTranslations">
    <vt:lpwstr>69;#GA|762d2456-c427-4ecb-b312-af3dad8e258c;#34;#SL|98a412ae-eb01-49e9-ae3d-585a81724cfc;#31;#CS|72f9705b-0217-4fd3-bea2-cbc7ed80e26e;#45;#FI|87606a43-d45f-42d6-b8c9-e1a3457db5b7;#44;#BG|1a1b3951-7821-4e6a-85f5-5673fc08bd2c;#24;#LV|46f7e311-5d9f-4663-b433-18aeccb7ace7;#41;#NL|55c6556c-b4f4-441d-9acf-c498d4f838bd;#13;#IT|0774613c-01ed-4e5d-a25d-11d2388de825;#39;#HU|6b229040-c589-4408-b4c1-4285663d20a8;#36;#MT|7df99101-6854-4a26-b53a-b88c0da02c26;#30;#LT|a7ff5ce7-6123-4f68-865a-a57c31810414;#40;#SV|c2ed69e7-a339-43d7-8f22-d93680a92aa0;#9;#PL|1e03da61-4678-4e07-b136-b5024ca9197b;#38;#EL|6d4f4d51-af9b-4650-94b4-4276bee85c91;#46;#SK|46d9fce0-ef79-4f71-b89b-cd6aa82426b8;#47;#ET|ff6c3f4c-b02c-4c3c-ab07-2c37995a7a0a;#48;#RO|feb747a2-64cd-4299-af12-4833ddc30497;#43;#HR|2f555653-ed1a-4fe6-8362-9082d95989e5;#16;#ES|e7a6b05b-ae16-40c8-add9-68b64b03aeba;#32;#DA|5d49c027-8956-412b-aa16-e85a0f96ad0e;#10;#DE|f6b31e5a-26fa-4935-b661-318e46daf27e;#11;#FR|d2afafd3-4c81-4f60-8f52-ee33f2f54ff3;#4;#EN|f2175f21-25d7-44a3-96da-d6a61b075e1b;#29;#PT|50ccc04a-eadd-42ae-a0cb-acaf45f812ba</vt:lpwstr>
  </property>
  <property fmtid="{D5CDD505-2E9C-101B-9397-08002B2CF9AE}" pid="10" name="DocumentType_0">
    <vt:lpwstr>AC|a4cc1d15-fb08-4679-ad46-e4e0cba5fe92</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DocumentNumber">
    <vt:i4>3535</vt:i4>
  </property>
  <property fmtid="{D5CDD505-2E9C-101B-9397-08002B2CF9AE}" pid="14" name="FicheYear">
    <vt:i4>2020</vt:i4>
  </property>
  <property fmtid="{D5CDD505-2E9C-101B-9397-08002B2CF9AE}" pid="15" name="DocumentVersion">
    <vt:i4>0</vt:i4>
  </property>
  <property fmtid="{D5CDD505-2E9C-101B-9397-08002B2CF9AE}" pid="16" name="DossierNumber">
    <vt:i4>718</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28;#TEN|5e12260d-3aca-41f8-baf2-ad3d18475f10</vt:lpwstr>
  </property>
  <property fmtid="{D5CDD505-2E9C-101B-9397-08002B2CF9AE}" pid="20" name="DocumentSource">
    <vt:lpwstr>1;#EESC|422833ec-8d7e-4e65-8e4e-8bed07ffb729</vt:lpwstr>
  </property>
  <property fmtid="{D5CDD505-2E9C-101B-9397-08002B2CF9AE}" pid="21" name="AdoptionDate">
    <vt:filetime>2021-01-27T12:00:00Z</vt:filetime>
  </property>
  <property fmtid="{D5CDD505-2E9C-101B-9397-08002B2CF9AE}" pid="22" name="DocumentType">
    <vt:lpwstr>70;#AC|a4cc1d15-fb08-4679-ad46-e4e0cba5fe92</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11;#FR|d2afafd3-4c81-4f60-8f52-ee33f2f54ff3</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28;#TEN|5e12260d-3aca-41f8-baf2-ad3d18475f10;#11;#FR|d2afafd3-4c81-4f60-8f52-ee33f2f54ff3;#6;#Final|ea5e6674-7b27-4bac-b091-73adbb394efe;#5;#Unrestricted|826e22d7-d029-4ec0-a450-0c28ff673572;#2;#TRA|150d2a88-1431-44e6-a8ca-0bb753ab8672;#1;#EESC|422833ec-8d7e-4e65-8e4e-8bed07ffb729;#70;#AC|a4cc1d15-fb08-4679-ad46-e4e0cba5fe92</vt:lpwstr>
  </property>
  <property fmtid="{D5CDD505-2E9C-101B-9397-08002B2CF9AE}" pid="34" name="Rapporteur">
    <vt:lpwstr>COULON</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1320</vt:i4>
  </property>
  <property fmtid="{D5CDD505-2E9C-101B-9397-08002B2CF9AE}" pid="39" name="DocumentLanguage">
    <vt:lpwstr>11;#FR|d2afafd3-4c81-4f60-8f52-ee33f2f54ff3</vt:lpwstr>
  </property>
  <property fmtid="{D5CDD505-2E9C-101B-9397-08002B2CF9AE}" pid="40" name="_docset_NoMedatataSyncRequired">
    <vt:lpwstr>False</vt:lpwstr>
  </property>
</Properties>
</file>